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30D7C" w14:textId="6013F34E" w:rsidR="00236BF8" w:rsidRPr="00B3233E" w:rsidRDefault="00236BF8" w:rsidP="00236BF8">
      <w:pPr>
        <w:rPr>
          <w:i/>
          <w:color w:val="FF0000"/>
          <w:sz w:val="24"/>
          <w:szCs w:val="24"/>
        </w:rPr>
      </w:pPr>
      <w:r w:rsidRPr="00B3233E">
        <w:rPr>
          <w:i/>
          <w:color w:val="FF0000"/>
          <w:sz w:val="24"/>
          <w:szCs w:val="24"/>
        </w:rPr>
        <w:t>Clarifications to the case scenarios were made after the originals were posted prior to the live session. If you completed the case scenarios prior to the live session and would like the answers to the original case scenarios or if you have questions concerning the scenarios below, please contact Jim Hofferkamp jhofferkamp@naaccr.org</w:t>
      </w:r>
    </w:p>
    <w:p w14:paraId="52B661F6" w14:textId="77777777" w:rsidR="001F2E44" w:rsidRPr="00D433CA" w:rsidRDefault="00133B1A" w:rsidP="00133B1A">
      <w:pPr>
        <w:jc w:val="center"/>
        <w:rPr>
          <w:color w:val="1F497D"/>
          <w:sz w:val="24"/>
          <w:szCs w:val="24"/>
        </w:rPr>
      </w:pPr>
      <w:r>
        <w:rPr>
          <w:color w:val="1F497D"/>
          <w:sz w:val="24"/>
          <w:szCs w:val="24"/>
        </w:rPr>
        <w:t xml:space="preserve">AJCC </w:t>
      </w:r>
      <w:r w:rsidR="00DB7C70">
        <w:rPr>
          <w:color w:val="1F497D"/>
          <w:sz w:val="24"/>
          <w:szCs w:val="24"/>
        </w:rPr>
        <w:t xml:space="preserve">Staging </w:t>
      </w:r>
      <w:r>
        <w:rPr>
          <w:color w:val="1F497D"/>
          <w:sz w:val="24"/>
          <w:szCs w:val="24"/>
        </w:rPr>
        <w:t>Case Scenario #1</w:t>
      </w:r>
    </w:p>
    <w:p w14:paraId="39D8F6FB" w14:textId="77777777" w:rsidR="00D433CA" w:rsidRPr="00DA6B75" w:rsidRDefault="00DA6B75" w:rsidP="00D433CA">
      <w:pPr>
        <w:shd w:val="clear" w:color="auto" w:fill="FFFFFF"/>
        <w:spacing w:after="0"/>
        <w:rPr>
          <w:b/>
          <w:color w:val="333333"/>
          <w:sz w:val="24"/>
          <w:szCs w:val="24"/>
        </w:rPr>
      </w:pPr>
      <w:r w:rsidRPr="00DA6B75">
        <w:rPr>
          <w:b/>
          <w:color w:val="333333"/>
          <w:sz w:val="24"/>
          <w:szCs w:val="24"/>
        </w:rPr>
        <w:t xml:space="preserve">History </w:t>
      </w:r>
      <w:r w:rsidR="00D433CA" w:rsidRPr="00DA6B75">
        <w:rPr>
          <w:b/>
          <w:color w:val="333333"/>
          <w:sz w:val="24"/>
          <w:szCs w:val="24"/>
        </w:rPr>
        <w:t xml:space="preserve"> </w:t>
      </w:r>
    </w:p>
    <w:p w14:paraId="5387C224" w14:textId="77777777" w:rsidR="00D433CA" w:rsidRDefault="00DA6B75" w:rsidP="00D433CA">
      <w:pPr>
        <w:shd w:val="clear" w:color="auto" w:fill="FFFFFF"/>
        <w:spacing w:after="0"/>
        <w:rPr>
          <w:color w:val="333333"/>
          <w:sz w:val="24"/>
          <w:szCs w:val="24"/>
        </w:rPr>
      </w:pPr>
      <w:r>
        <w:rPr>
          <w:color w:val="333333"/>
          <w:sz w:val="24"/>
          <w:szCs w:val="24"/>
        </w:rPr>
        <w:t>2/13/</w:t>
      </w:r>
      <w:r w:rsidR="00133B1A">
        <w:rPr>
          <w:color w:val="333333"/>
          <w:sz w:val="24"/>
          <w:szCs w:val="24"/>
        </w:rPr>
        <w:t>2016 A</w:t>
      </w:r>
      <w:r w:rsidR="001F2E44" w:rsidRPr="00D433CA">
        <w:rPr>
          <w:color w:val="333333"/>
          <w:sz w:val="24"/>
          <w:szCs w:val="24"/>
        </w:rPr>
        <w:t xml:space="preserve"> 57-year-old </w:t>
      </w:r>
      <w:r w:rsidR="00D433CA">
        <w:rPr>
          <w:color w:val="333333"/>
          <w:sz w:val="24"/>
          <w:szCs w:val="24"/>
        </w:rPr>
        <w:t xml:space="preserve">Latino </w:t>
      </w:r>
      <w:r w:rsidR="001F2E44" w:rsidRPr="00D433CA">
        <w:rPr>
          <w:color w:val="333333"/>
          <w:sz w:val="24"/>
          <w:szCs w:val="24"/>
        </w:rPr>
        <w:t>woman was referred to our hospital because of an increase in abdominal girth</w:t>
      </w:r>
      <w:r w:rsidR="00D40624">
        <w:rPr>
          <w:color w:val="333333"/>
          <w:sz w:val="24"/>
          <w:szCs w:val="24"/>
        </w:rPr>
        <w:t>. The p</w:t>
      </w:r>
      <w:r w:rsidR="00D433CA">
        <w:rPr>
          <w:color w:val="333333"/>
          <w:sz w:val="24"/>
          <w:szCs w:val="24"/>
        </w:rPr>
        <w:t xml:space="preserve">atient </w:t>
      </w:r>
      <w:r w:rsidR="001F2E44" w:rsidRPr="00D433CA">
        <w:rPr>
          <w:color w:val="333333"/>
          <w:sz w:val="24"/>
          <w:szCs w:val="24"/>
        </w:rPr>
        <w:t xml:space="preserve">said she was overweight, and had noted a rapid increase in abdominal girth during the last year. </w:t>
      </w:r>
      <w:r w:rsidR="004A20FC">
        <w:rPr>
          <w:color w:val="333333"/>
          <w:sz w:val="24"/>
          <w:szCs w:val="24"/>
        </w:rPr>
        <w:t>H</w:t>
      </w:r>
      <w:r w:rsidR="001F2E44" w:rsidRPr="00D433CA">
        <w:rPr>
          <w:color w:val="333333"/>
          <w:sz w:val="24"/>
          <w:szCs w:val="24"/>
        </w:rPr>
        <w:t>er abdomen was distended and tense, and her abdomin</w:t>
      </w:r>
      <w:r w:rsidR="00D433CA" w:rsidRPr="00D433CA">
        <w:rPr>
          <w:color w:val="333333"/>
          <w:sz w:val="24"/>
          <w:szCs w:val="24"/>
        </w:rPr>
        <w:t>al circumference measure</w:t>
      </w:r>
      <w:bookmarkStart w:id="0" w:name="_GoBack"/>
      <w:bookmarkEnd w:id="0"/>
      <w:r w:rsidR="00D433CA" w:rsidRPr="00D433CA">
        <w:rPr>
          <w:color w:val="333333"/>
          <w:sz w:val="24"/>
          <w:szCs w:val="24"/>
        </w:rPr>
        <w:t>d 134cm</w:t>
      </w:r>
      <w:r w:rsidR="001F2E44" w:rsidRPr="00D433CA">
        <w:rPr>
          <w:color w:val="333333"/>
          <w:sz w:val="24"/>
          <w:szCs w:val="24"/>
        </w:rPr>
        <w:t xml:space="preserve">, with dullness to percussion and superficial dilated veins. Examination of her breasts, vulva and vagina did not reveal abnormalities. Her lower limbs showed moderate swelling. She was admitted to the gynecological ward for accurate diagnosis and treatment. </w:t>
      </w:r>
    </w:p>
    <w:p w14:paraId="1A2FB972" w14:textId="77777777" w:rsidR="00D433CA" w:rsidRPr="00D433CA" w:rsidRDefault="00D433CA" w:rsidP="00D433CA">
      <w:pPr>
        <w:shd w:val="clear" w:color="auto" w:fill="FFFFFF"/>
        <w:spacing w:after="0"/>
        <w:rPr>
          <w:color w:val="333333"/>
          <w:sz w:val="24"/>
          <w:szCs w:val="24"/>
        </w:rPr>
      </w:pPr>
    </w:p>
    <w:p w14:paraId="33EA0024" w14:textId="77777777" w:rsidR="00DA6B75" w:rsidRPr="00DA6B75" w:rsidRDefault="00D433CA" w:rsidP="00D433CA">
      <w:pPr>
        <w:shd w:val="clear" w:color="auto" w:fill="FFFFFF"/>
        <w:spacing w:after="0"/>
        <w:rPr>
          <w:b/>
          <w:color w:val="333333"/>
          <w:sz w:val="24"/>
          <w:szCs w:val="24"/>
        </w:rPr>
      </w:pPr>
      <w:r w:rsidRPr="00DA6B75">
        <w:rPr>
          <w:b/>
          <w:color w:val="333333"/>
          <w:sz w:val="24"/>
          <w:szCs w:val="24"/>
        </w:rPr>
        <w:t>Laboratory test results</w:t>
      </w:r>
      <w:r w:rsidR="00DA6B75" w:rsidRPr="00DA6B75">
        <w:rPr>
          <w:b/>
          <w:color w:val="333333"/>
          <w:sz w:val="24"/>
          <w:szCs w:val="24"/>
        </w:rPr>
        <w:t xml:space="preserve"> </w:t>
      </w:r>
    </w:p>
    <w:p w14:paraId="3314219F" w14:textId="77777777" w:rsidR="00D433CA" w:rsidRPr="00D433CA" w:rsidRDefault="00DA6B75" w:rsidP="00D433CA">
      <w:pPr>
        <w:shd w:val="clear" w:color="auto" w:fill="FFFFFF"/>
        <w:spacing w:after="0"/>
        <w:rPr>
          <w:color w:val="333333"/>
          <w:sz w:val="24"/>
          <w:szCs w:val="24"/>
        </w:rPr>
      </w:pPr>
      <w:r w:rsidRPr="00D433CA">
        <w:rPr>
          <w:color w:val="333333"/>
          <w:sz w:val="24"/>
          <w:szCs w:val="24"/>
        </w:rPr>
        <w:t>2/15/</w:t>
      </w:r>
      <w:r w:rsidR="004A20FC">
        <w:rPr>
          <w:color w:val="333333"/>
          <w:sz w:val="24"/>
          <w:szCs w:val="24"/>
        </w:rPr>
        <w:t>2016</w:t>
      </w:r>
    </w:p>
    <w:p w14:paraId="265AA19C"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H</w:t>
      </w:r>
      <w:r w:rsidR="001F2E44" w:rsidRPr="00D433CA">
        <w:rPr>
          <w:rFonts w:asciiTheme="minorHAnsi" w:hAnsiTheme="minorHAnsi"/>
          <w:color w:val="333333"/>
        </w:rPr>
        <w:t xml:space="preserve">ematocrit 29%, </w:t>
      </w:r>
    </w:p>
    <w:p w14:paraId="7DF6B722"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H</w:t>
      </w:r>
      <w:r w:rsidR="001F2E44" w:rsidRPr="00D433CA">
        <w:rPr>
          <w:rFonts w:asciiTheme="minorHAnsi" w:hAnsiTheme="minorHAnsi"/>
          <w:color w:val="333333"/>
        </w:rPr>
        <w:t xml:space="preserve">emoglobin 9.2g/dL, </w:t>
      </w:r>
    </w:p>
    <w:p w14:paraId="7CDC8EE8"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L</w:t>
      </w:r>
      <w:r w:rsidR="001F2E44" w:rsidRPr="00D433CA">
        <w:rPr>
          <w:rFonts w:asciiTheme="minorHAnsi" w:hAnsiTheme="minorHAnsi"/>
          <w:color w:val="333333"/>
        </w:rPr>
        <w:t xml:space="preserve">eukocytes 7000 cells/μL, </w:t>
      </w:r>
    </w:p>
    <w:p w14:paraId="3463485A" w14:textId="77777777" w:rsidR="00D433CA" w:rsidRPr="00D433CA" w:rsidRDefault="00D433C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P</w:t>
      </w:r>
      <w:r w:rsidR="001F2E44" w:rsidRPr="00D433CA">
        <w:rPr>
          <w:rFonts w:asciiTheme="minorHAnsi" w:hAnsiTheme="minorHAnsi"/>
          <w:color w:val="333333"/>
        </w:rPr>
        <w:t xml:space="preserve">latelets 478,000/μL, </w:t>
      </w:r>
    </w:p>
    <w:p w14:paraId="5FDB7817" w14:textId="77777777" w:rsidR="00D433CA" w:rsidRPr="00D433CA" w:rsidRDefault="001F2E44"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 xml:space="preserve">CA-125 374.8IU/dL, and </w:t>
      </w:r>
    </w:p>
    <w:p w14:paraId="019AEA91" w14:textId="77777777" w:rsidR="00D433CA" w:rsidRPr="00D433CA" w:rsidRDefault="00133B1A" w:rsidP="00D433CA">
      <w:pPr>
        <w:pStyle w:val="ListParagraph"/>
        <w:numPr>
          <w:ilvl w:val="0"/>
          <w:numId w:val="2"/>
        </w:numPr>
        <w:shd w:val="clear" w:color="auto" w:fill="FFFFFF"/>
        <w:rPr>
          <w:rFonts w:asciiTheme="minorHAnsi" w:hAnsiTheme="minorHAnsi"/>
          <w:color w:val="333333"/>
        </w:rPr>
      </w:pPr>
      <w:r w:rsidRPr="00D433CA">
        <w:rPr>
          <w:rFonts w:asciiTheme="minorHAnsi" w:hAnsiTheme="minorHAnsi"/>
          <w:color w:val="333333"/>
        </w:rPr>
        <w:t>Carcinoembryonic</w:t>
      </w:r>
      <w:r w:rsidR="001F2E44" w:rsidRPr="00D433CA">
        <w:rPr>
          <w:rFonts w:asciiTheme="minorHAnsi" w:hAnsiTheme="minorHAnsi"/>
          <w:color w:val="333333"/>
        </w:rPr>
        <w:t xml:space="preserve"> antigen (CEA) </w:t>
      </w:r>
      <w:r w:rsidR="00D433CA" w:rsidRPr="00D433CA">
        <w:rPr>
          <w:rFonts w:asciiTheme="minorHAnsi" w:hAnsiTheme="minorHAnsi"/>
          <w:color w:val="333333"/>
        </w:rPr>
        <w:t xml:space="preserve">– normal levels </w:t>
      </w:r>
      <w:r w:rsidR="001F2E44" w:rsidRPr="00D433CA">
        <w:rPr>
          <w:rFonts w:asciiTheme="minorHAnsi" w:hAnsiTheme="minorHAnsi"/>
          <w:color w:val="333333"/>
        </w:rPr>
        <w:t xml:space="preserve"> </w:t>
      </w:r>
    </w:p>
    <w:p w14:paraId="2F2578D8" w14:textId="77777777" w:rsidR="00D433CA" w:rsidRPr="00D433CA" w:rsidRDefault="002E49FB" w:rsidP="002E49FB">
      <w:pPr>
        <w:pStyle w:val="ListParagraph"/>
        <w:numPr>
          <w:ilvl w:val="0"/>
          <w:numId w:val="2"/>
        </w:numPr>
        <w:shd w:val="clear" w:color="auto" w:fill="FFFFFF"/>
        <w:rPr>
          <w:rFonts w:asciiTheme="minorHAnsi" w:hAnsiTheme="minorHAnsi"/>
          <w:color w:val="333333"/>
        </w:rPr>
      </w:pPr>
      <w:r>
        <w:rPr>
          <w:rFonts w:asciiTheme="minorHAnsi" w:hAnsiTheme="minorHAnsi"/>
          <w:color w:val="333333"/>
        </w:rPr>
        <w:t>A</w:t>
      </w:r>
      <w:r w:rsidRPr="002E49FB">
        <w:rPr>
          <w:rFonts w:asciiTheme="minorHAnsi" w:hAnsiTheme="minorHAnsi"/>
          <w:color w:val="333333"/>
        </w:rPr>
        <w:t xml:space="preserve">lpha-fetoprotein (AFP) </w:t>
      </w:r>
      <w:r w:rsidR="00D433CA" w:rsidRPr="00D433CA">
        <w:rPr>
          <w:rFonts w:asciiTheme="minorHAnsi" w:hAnsiTheme="minorHAnsi"/>
          <w:color w:val="333333"/>
        </w:rPr>
        <w:t xml:space="preserve">– normal levels </w:t>
      </w:r>
    </w:p>
    <w:p w14:paraId="4B99CAD7" w14:textId="77777777" w:rsidR="00D433CA" w:rsidRPr="00D433CA" w:rsidRDefault="001F2E44" w:rsidP="00D433CA">
      <w:pPr>
        <w:pStyle w:val="ListParagraph"/>
        <w:shd w:val="clear" w:color="auto" w:fill="FFFFFF"/>
        <w:rPr>
          <w:rFonts w:asciiTheme="minorHAnsi" w:hAnsiTheme="minorHAnsi"/>
          <w:color w:val="333333"/>
        </w:rPr>
      </w:pPr>
      <w:r w:rsidRPr="00D433CA">
        <w:rPr>
          <w:rFonts w:asciiTheme="minorHAnsi" w:hAnsiTheme="minorHAnsi"/>
          <w:color w:val="333333"/>
        </w:rPr>
        <w:t xml:space="preserve"> </w:t>
      </w:r>
    </w:p>
    <w:p w14:paraId="66076D50" w14:textId="77777777" w:rsidR="00D433CA" w:rsidRPr="00DA6B75" w:rsidRDefault="00D433CA" w:rsidP="00D433CA">
      <w:pPr>
        <w:shd w:val="clear" w:color="auto" w:fill="FFFFFF"/>
        <w:spacing w:after="0"/>
        <w:rPr>
          <w:b/>
          <w:color w:val="333333"/>
          <w:sz w:val="24"/>
          <w:szCs w:val="24"/>
        </w:rPr>
      </w:pPr>
      <w:r w:rsidRPr="00DA6B75">
        <w:rPr>
          <w:b/>
          <w:color w:val="333333"/>
          <w:sz w:val="24"/>
          <w:szCs w:val="24"/>
        </w:rPr>
        <w:t>Imaging</w:t>
      </w:r>
    </w:p>
    <w:p w14:paraId="45F97812" w14:textId="77777777" w:rsidR="00D433CA" w:rsidRDefault="00D433CA" w:rsidP="00D433CA">
      <w:pPr>
        <w:shd w:val="clear" w:color="auto" w:fill="FFFFFF"/>
        <w:spacing w:after="0"/>
        <w:rPr>
          <w:color w:val="333333"/>
          <w:sz w:val="24"/>
          <w:szCs w:val="24"/>
        </w:rPr>
      </w:pPr>
      <w:r>
        <w:rPr>
          <w:color w:val="333333"/>
          <w:sz w:val="24"/>
          <w:szCs w:val="24"/>
        </w:rPr>
        <w:t>2/15/</w:t>
      </w:r>
      <w:r w:rsidR="004A20FC">
        <w:rPr>
          <w:color w:val="333333"/>
          <w:sz w:val="24"/>
          <w:szCs w:val="24"/>
        </w:rPr>
        <w:t>2016</w:t>
      </w:r>
      <w:r>
        <w:rPr>
          <w:color w:val="333333"/>
          <w:sz w:val="24"/>
          <w:szCs w:val="24"/>
        </w:rPr>
        <w:t xml:space="preserve"> </w:t>
      </w:r>
      <w:r w:rsidRPr="00D433CA">
        <w:rPr>
          <w:color w:val="333333"/>
          <w:sz w:val="24"/>
          <w:szCs w:val="24"/>
        </w:rPr>
        <w:t>C</w:t>
      </w:r>
      <w:r w:rsidR="001F2E44" w:rsidRPr="00D433CA">
        <w:rPr>
          <w:color w:val="333333"/>
          <w:sz w:val="24"/>
          <w:szCs w:val="24"/>
        </w:rPr>
        <w:t>hest radiograph</w:t>
      </w:r>
      <w:r>
        <w:rPr>
          <w:color w:val="333333"/>
          <w:sz w:val="24"/>
          <w:szCs w:val="24"/>
        </w:rPr>
        <w:t xml:space="preserve"> sh</w:t>
      </w:r>
      <w:r w:rsidR="001F2E44" w:rsidRPr="00D433CA">
        <w:rPr>
          <w:color w:val="333333"/>
          <w:sz w:val="24"/>
          <w:szCs w:val="24"/>
        </w:rPr>
        <w:t>owed an upward compression of her diaphragm, and abdominal ultrasonography study showed a voluminous cystic abdominal-pelvic mass with thick walls, strongly</w:t>
      </w:r>
      <w:r>
        <w:rPr>
          <w:color w:val="333333"/>
          <w:sz w:val="24"/>
          <w:szCs w:val="24"/>
        </w:rPr>
        <w:t xml:space="preserve"> suggestive of </w:t>
      </w:r>
      <w:r w:rsidR="004A20FC">
        <w:rPr>
          <w:color w:val="333333"/>
          <w:sz w:val="24"/>
          <w:szCs w:val="24"/>
        </w:rPr>
        <w:t>an adnexal malignancy</w:t>
      </w:r>
      <w:r w:rsidR="001F2E44" w:rsidRPr="00D433CA">
        <w:rPr>
          <w:color w:val="333333"/>
          <w:sz w:val="24"/>
          <w:szCs w:val="24"/>
        </w:rPr>
        <w:t xml:space="preserve">. </w:t>
      </w:r>
      <w:r w:rsidR="004A20FC">
        <w:rPr>
          <w:color w:val="333333"/>
          <w:sz w:val="24"/>
          <w:szCs w:val="24"/>
        </w:rPr>
        <w:t>A lymphoma or colon primary, while less likely, should also be considered.</w:t>
      </w:r>
    </w:p>
    <w:p w14:paraId="0E80147F" w14:textId="77777777" w:rsidR="00D433CA" w:rsidRDefault="00D433CA" w:rsidP="00D433CA">
      <w:pPr>
        <w:shd w:val="clear" w:color="auto" w:fill="FFFFFF"/>
        <w:spacing w:after="0"/>
        <w:rPr>
          <w:color w:val="333333"/>
          <w:sz w:val="24"/>
          <w:szCs w:val="24"/>
        </w:rPr>
      </w:pPr>
    </w:p>
    <w:p w14:paraId="629F0A53" w14:textId="77777777" w:rsidR="00D433CA" w:rsidRDefault="00D433CA" w:rsidP="00D433CA">
      <w:pPr>
        <w:shd w:val="clear" w:color="auto" w:fill="FFFFFF"/>
        <w:spacing w:after="0"/>
        <w:rPr>
          <w:color w:val="333333"/>
          <w:sz w:val="24"/>
          <w:szCs w:val="24"/>
        </w:rPr>
      </w:pPr>
      <w:r>
        <w:rPr>
          <w:color w:val="333333"/>
          <w:sz w:val="24"/>
          <w:szCs w:val="24"/>
        </w:rPr>
        <w:t>2/16/</w:t>
      </w:r>
      <w:r w:rsidR="004A20FC">
        <w:rPr>
          <w:color w:val="333333"/>
          <w:sz w:val="24"/>
          <w:szCs w:val="24"/>
        </w:rPr>
        <w:t>2016</w:t>
      </w:r>
      <w:r>
        <w:rPr>
          <w:color w:val="333333"/>
          <w:sz w:val="24"/>
          <w:szCs w:val="24"/>
        </w:rPr>
        <w:t xml:space="preserve"> </w:t>
      </w:r>
      <w:r w:rsidR="001F2E44" w:rsidRPr="00D433CA">
        <w:rPr>
          <w:color w:val="333333"/>
          <w:sz w:val="24"/>
          <w:szCs w:val="24"/>
        </w:rPr>
        <w:t xml:space="preserve">Abdominal ultrasound </w:t>
      </w:r>
      <w:r>
        <w:rPr>
          <w:color w:val="333333"/>
          <w:sz w:val="24"/>
          <w:szCs w:val="24"/>
        </w:rPr>
        <w:t>i</w:t>
      </w:r>
      <w:r w:rsidR="001F2E44" w:rsidRPr="00D433CA">
        <w:rPr>
          <w:color w:val="333333"/>
          <w:sz w:val="24"/>
          <w:szCs w:val="24"/>
        </w:rPr>
        <w:t xml:space="preserve">mages showed a normal aspect of the liver, bile ducts, portal and supra-hepatic veins, as well as normal spleen and kidneys. The cystic mass had rough septa and voluminous solid components, occupying the entire abdominal cavity with extrinsic compression of the liver and spleen; discrete blood flux within the tumor and high resistance peripheral blood flow. </w:t>
      </w:r>
    </w:p>
    <w:p w14:paraId="0A5C0938" w14:textId="77777777" w:rsidR="00D433CA" w:rsidRDefault="00D433CA" w:rsidP="00D433CA">
      <w:pPr>
        <w:shd w:val="clear" w:color="auto" w:fill="FFFFFF"/>
        <w:spacing w:after="0"/>
        <w:rPr>
          <w:color w:val="333333"/>
          <w:sz w:val="24"/>
          <w:szCs w:val="24"/>
        </w:rPr>
      </w:pPr>
    </w:p>
    <w:p w14:paraId="07DA4E83" w14:textId="77777777" w:rsidR="001C1D0A" w:rsidRDefault="00D433CA" w:rsidP="00D433CA">
      <w:pPr>
        <w:shd w:val="clear" w:color="auto" w:fill="FFFFFF"/>
        <w:spacing w:after="0"/>
        <w:rPr>
          <w:color w:val="333333"/>
          <w:sz w:val="24"/>
          <w:szCs w:val="24"/>
        </w:rPr>
      </w:pPr>
      <w:r>
        <w:rPr>
          <w:color w:val="333333"/>
          <w:sz w:val="24"/>
          <w:szCs w:val="24"/>
        </w:rPr>
        <w:t>2/17/</w:t>
      </w:r>
      <w:r w:rsidR="004A20FC">
        <w:rPr>
          <w:color w:val="333333"/>
          <w:sz w:val="24"/>
          <w:szCs w:val="24"/>
        </w:rPr>
        <w:t>2016</w:t>
      </w:r>
      <w:r>
        <w:rPr>
          <w:color w:val="333333"/>
          <w:sz w:val="24"/>
          <w:szCs w:val="24"/>
        </w:rPr>
        <w:t xml:space="preserve"> </w:t>
      </w:r>
      <w:r w:rsidR="001F2E44" w:rsidRPr="00D433CA">
        <w:rPr>
          <w:color w:val="333333"/>
          <w:sz w:val="24"/>
          <w:szCs w:val="24"/>
        </w:rPr>
        <w:t xml:space="preserve">CT images of the abdomen and pelvis revealed a conspicuous and well delineated tumor with heterogeneous attenuation coefficient, predominantly liquid and with coarse septa and some solid internal irregularities. The huge tumor displaced her uterus to the left, compressed her abdominal contents, and extended up to her diaphragm. </w:t>
      </w:r>
    </w:p>
    <w:p w14:paraId="5D02AEA9" w14:textId="77777777" w:rsidR="001C1D0A" w:rsidRDefault="001C1D0A" w:rsidP="00D433CA">
      <w:pPr>
        <w:shd w:val="clear" w:color="auto" w:fill="FFFFFF"/>
        <w:spacing w:after="0"/>
        <w:rPr>
          <w:color w:val="333333"/>
          <w:sz w:val="24"/>
          <w:szCs w:val="24"/>
        </w:rPr>
      </w:pPr>
    </w:p>
    <w:p w14:paraId="4AF376A4" w14:textId="77777777" w:rsidR="001C1D0A" w:rsidRPr="00DA6B75" w:rsidRDefault="001C1D0A" w:rsidP="00D433CA">
      <w:pPr>
        <w:shd w:val="clear" w:color="auto" w:fill="FFFFFF"/>
        <w:spacing w:after="0"/>
        <w:rPr>
          <w:b/>
          <w:color w:val="333333"/>
          <w:sz w:val="24"/>
          <w:szCs w:val="24"/>
        </w:rPr>
      </w:pPr>
      <w:r w:rsidRPr="00DA6B75">
        <w:rPr>
          <w:b/>
          <w:color w:val="333333"/>
          <w:sz w:val="24"/>
          <w:szCs w:val="24"/>
        </w:rPr>
        <w:t>Procedure</w:t>
      </w:r>
    </w:p>
    <w:p w14:paraId="791B44F8" w14:textId="77777777" w:rsidR="001C1D0A" w:rsidRDefault="001C1D0A" w:rsidP="00D433CA">
      <w:pPr>
        <w:shd w:val="clear" w:color="auto" w:fill="FFFFFF"/>
        <w:spacing w:after="0"/>
        <w:rPr>
          <w:color w:val="333333"/>
          <w:sz w:val="24"/>
          <w:szCs w:val="24"/>
        </w:rPr>
      </w:pPr>
      <w:r>
        <w:rPr>
          <w:color w:val="333333"/>
          <w:sz w:val="24"/>
          <w:szCs w:val="24"/>
        </w:rPr>
        <w:t>2/29/</w:t>
      </w:r>
      <w:r w:rsidR="00133B1A">
        <w:rPr>
          <w:color w:val="333333"/>
          <w:sz w:val="24"/>
          <w:szCs w:val="24"/>
        </w:rPr>
        <w:t>2016 Due</w:t>
      </w:r>
      <w:r>
        <w:rPr>
          <w:color w:val="333333"/>
          <w:sz w:val="24"/>
          <w:szCs w:val="24"/>
        </w:rPr>
        <w:t xml:space="preserve"> to the </w:t>
      </w:r>
      <w:r w:rsidRPr="00D433CA">
        <w:rPr>
          <w:color w:val="333333"/>
          <w:sz w:val="24"/>
          <w:szCs w:val="24"/>
        </w:rPr>
        <w:t xml:space="preserve">main hypothesis </w:t>
      </w:r>
      <w:r>
        <w:rPr>
          <w:color w:val="333333"/>
          <w:sz w:val="24"/>
          <w:szCs w:val="24"/>
        </w:rPr>
        <w:t>of</w:t>
      </w:r>
      <w:r w:rsidRPr="00D433CA">
        <w:rPr>
          <w:color w:val="333333"/>
          <w:sz w:val="24"/>
          <w:szCs w:val="24"/>
        </w:rPr>
        <w:t xml:space="preserve"> a giant adnexal complex mass, in addition to the high possibility of malignant origin</w:t>
      </w:r>
      <w:r>
        <w:rPr>
          <w:color w:val="333333"/>
          <w:sz w:val="24"/>
          <w:szCs w:val="24"/>
        </w:rPr>
        <w:t xml:space="preserve">, open laparotomy was chosen to </w:t>
      </w:r>
      <w:r w:rsidR="002A0A74">
        <w:rPr>
          <w:color w:val="333333"/>
          <w:sz w:val="24"/>
          <w:szCs w:val="24"/>
        </w:rPr>
        <w:t>execute</w:t>
      </w:r>
      <w:r>
        <w:rPr>
          <w:color w:val="333333"/>
          <w:sz w:val="24"/>
          <w:szCs w:val="24"/>
        </w:rPr>
        <w:t xml:space="preserve"> t</w:t>
      </w:r>
      <w:r w:rsidR="001F2E44" w:rsidRPr="00D433CA">
        <w:rPr>
          <w:color w:val="333333"/>
          <w:sz w:val="24"/>
          <w:szCs w:val="24"/>
        </w:rPr>
        <w:t xml:space="preserve">he intact removal of the right tumor along </w:t>
      </w:r>
      <w:r w:rsidR="004A20FC">
        <w:rPr>
          <w:color w:val="333333"/>
          <w:sz w:val="24"/>
          <w:szCs w:val="24"/>
        </w:rPr>
        <w:t xml:space="preserve">with a bilateral salpingo </w:t>
      </w:r>
      <w:r w:rsidR="00133B1A">
        <w:rPr>
          <w:color w:val="333333"/>
          <w:sz w:val="24"/>
          <w:szCs w:val="24"/>
        </w:rPr>
        <w:t>oophorectomy</w:t>
      </w:r>
      <w:r w:rsidR="001F2E44" w:rsidRPr="00D433CA">
        <w:rPr>
          <w:color w:val="333333"/>
          <w:sz w:val="24"/>
          <w:szCs w:val="24"/>
        </w:rPr>
        <w:t xml:space="preserve">, total hysterectomy, omentectomy, para aortic and pelvic lymph node dissection to stage the disease, and sampling of lymph nodes and of the ascitic fluid for routine tests and cytopathological evaluations. </w:t>
      </w:r>
    </w:p>
    <w:p w14:paraId="2631E4AB" w14:textId="77777777" w:rsidR="002A0A74" w:rsidRDefault="002A0A74" w:rsidP="00D433CA">
      <w:pPr>
        <w:shd w:val="clear" w:color="auto" w:fill="FFFFFF"/>
        <w:spacing w:after="0"/>
        <w:rPr>
          <w:color w:val="333333"/>
          <w:sz w:val="24"/>
          <w:szCs w:val="24"/>
        </w:rPr>
      </w:pPr>
    </w:p>
    <w:p w14:paraId="631E3049" w14:textId="77777777" w:rsidR="001C1D0A" w:rsidRPr="00DA6B75" w:rsidRDefault="002A0A74" w:rsidP="00D433CA">
      <w:pPr>
        <w:shd w:val="clear" w:color="auto" w:fill="FFFFFF"/>
        <w:spacing w:after="0"/>
        <w:rPr>
          <w:b/>
          <w:color w:val="333333"/>
          <w:sz w:val="24"/>
          <w:szCs w:val="24"/>
        </w:rPr>
      </w:pPr>
      <w:r w:rsidRPr="00DA6B75">
        <w:rPr>
          <w:b/>
          <w:color w:val="333333"/>
          <w:sz w:val="24"/>
          <w:szCs w:val="24"/>
        </w:rPr>
        <w:t>Histopathology</w:t>
      </w:r>
    </w:p>
    <w:p w14:paraId="182F5B41" w14:textId="3EFFD7AA" w:rsidR="001C1D0A" w:rsidRDefault="001C1D0A" w:rsidP="00D433CA">
      <w:pPr>
        <w:shd w:val="clear" w:color="auto" w:fill="FFFFFF"/>
        <w:spacing w:after="0"/>
        <w:rPr>
          <w:color w:val="333333"/>
          <w:sz w:val="24"/>
          <w:szCs w:val="24"/>
        </w:rPr>
      </w:pPr>
      <w:r>
        <w:rPr>
          <w:color w:val="333333"/>
          <w:sz w:val="24"/>
          <w:szCs w:val="24"/>
        </w:rPr>
        <w:t>2/29/</w:t>
      </w:r>
      <w:r w:rsidR="004A20FC">
        <w:rPr>
          <w:color w:val="333333"/>
          <w:sz w:val="24"/>
          <w:szCs w:val="24"/>
        </w:rPr>
        <w:t>2016</w:t>
      </w:r>
      <w:r>
        <w:rPr>
          <w:color w:val="333333"/>
          <w:sz w:val="24"/>
          <w:szCs w:val="24"/>
        </w:rPr>
        <w:t xml:space="preserve"> H</w:t>
      </w:r>
      <w:r w:rsidR="001F2E44" w:rsidRPr="00D433CA">
        <w:rPr>
          <w:color w:val="333333"/>
          <w:sz w:val="24"/>
          <w:szCs w:val="24"/>
        </w:rPr>
        <w:t>istopatholog</w:t>
      </w:r>
      <w:r>
        <w:rPr>
          <w:color w:val="333333"/>
          <w:sz w:val="24"/>
          <w:szCs w:val="24"/>
        </w:rPr>
        <w:t>y</w:t>
      </w:r>
      <w:r w:rsidR="002A0A74">
        <w:rPr>
          <w:color w:val="333333"/>
          <w:sz w:val="24"/>
          <w:szCs w:val="24"/>
        </w:rPr>
        <w:t xml:space="preserve"> results</w:t>
      </w:r>
      <w:r>
        <w:rPr>
          <w:color w:val="333333"/>
          <w:sz w:val="24"/>
          <w:szCs w:val="24"/>
        </w:rPr>
        <w:t>: D</w:t>
      </w:r>
      <w:r w:rsidR="001F2E44" w:rsidRPr="00D433CA">
        <w:rPr>
          <w:color w:val="333333"/>
          <w:sz w:val="24"/>
          <w:szCs w:val="24"/>
        </w:rPr>
        <w:t>iagnosis was a well-differentiated mucinous cystadenocarcinoma</w:t>
      </w:r>
      <w:r>
        <w:rPr>
          <w:color w:val="333333"/>
          <w:sz w:val="24"/>
          <w:szCs w:val="24"/>
        </w:rPr>
        <w:t xml:space="preserve">, as the </w:t>
      </w:r>
      <w:r w:rsidR="001F2E44" w:rsidRPr="00D433CA">
        <w:rPr>
          <w:color w:val="333333"/>
          <w:sz w:val="24"/>
          <w:szCs w:val="24"/>
        </w:rPr>
        <w:t xml:space="preserve">tumor </w:t>
      </w:r>
      <w:r>
        <w:rPr>
          <w:color w:val="333333"/>
          <w:sz w:val="24"/>
          <w:szCs w:val="24"/>
        </w:rPr>
        <w:t xml:space="preserve">was </w:t>
      </w:r>
      <w:r w:rsidR="001F2E44" w:rsidRPr="00D433CA">
        <w:rPr>
          <w:color w:val="333333"/>
          <w:sz w:val="24"/>
          <w:szCs w:val="24"/>
        </w:rPr>
        <w:t xml:space="preserve">limited to one ovary, no ascites present containing malignant cells, no tumor on the external surface, and capsule intact. </w:t>
      </w:r>
      <w:r w:rsidR="00F25ED0">
        <w:rPr>
          <w:color w:val="333333"/>
          <w:sz w:val="24"/>
          <w:szCs w:val="24"/>
        </w:rPr>
        <w:t>12 lymph nodes were negative for metastasis.</w:t>
      </w:r>
    </w:p>
    <w:p w14:paraId="6BCC9451" w14:textId="77777777" w:rsidR="001C1D0A" w:rsidRDefault="001C1D0A" w:rsidP="00D433CA">
      <w:pPr>
        <w:shd w:val="clear" w:color="auto" w:fill="FFFFFF"/>
        <w:spacing w:after="0"/>
        <w:rPr>
          <w:color w:val="333333"/>
          <w:sz w:val="24"/>
          <w:szCs w:val="24"/>
        </w:rPr>
      </w:pPr>
    </w:p>
    <w:p w14:paraId="2262E11D" w14:textId="77777777" w:rsidR="002A0A74" w:rsidRPr="00DA6B75" w:rsidRDefault="002A0A74" w:rsidP="00D433CA">
      <w:pPr>
        <w:shd w:val="clear" w:color="auto" w:fill="FFFFFF"/>
        <w:spacing w:after="0"/>
        <w:rPr>
          <w:b/>
          <w:color w:val="333333"/>
          <w:sz w:val="24"/>
          <w:szCs w:val="24"/>
        </w:rPr>
      </w:pPr>
      <w:r w:rsidRPr="00DA6B75">
        <w:rPr>
          <w:b/>
          <w:color w:val="333333"/>
          <w:sz w:val="24"/>
          <w:szCs w:val="24"/>
        </w:rPr>
        <w:t>Treatment</w:t>
      </w:r>
    </w:p>
    <w:p w14:paraId="4662C869" w14:textId="77777777" w:rsidR="002A0A74" w:rsidRDefault="002A0A74" w:rsidP="00D433CA">
      <w:pPr>
        <w:shd w:val="clear" w:color="auto" w:fill="FFFFFF"/>
        <w:spacing w:after="0"/>
        <w:rPr>
          <w:color w:val="333333"/>
          <w:sz w:val="24"/>
          <w:szCs w:val="24"/>
        </w:rPr>
      </w:pPr>
      <w:r>
        <w:rPr>
          <w:color w:val="333333"/>
          <w:sz w:val="24"/>
          <w:szCs w:val="24"/>
        </w:rPr>
        <w:t>6</w:t>
      </w:r>
      <w:r w:rsidR="001C1D0A">
        <w:rPr>
          <w:color w:val="333333"/>
          <w:sz w:val="24"/>
          <w:szCs w:val="24"/>
        </w:rPr>
        <w:t>/3/</w:t>
      </w:r>
      <w:r w:rsidR="004A20FC">
        <w:rPr>
          <w:color w:val="333333"/>
          <w:sz w:val="24"/>
          <w:szCs w:val="24"/>
        </w:rPr>
        <w:t>2016</w:t>
      </w:r>
      <w:r>
        <w:rPr>
          <w:color w:val="333333"/>
          <w:sz w:val="24"/>
          <w:szCs w:val="24"/>
        </w:rPr>
        <w:t xml:space="preserve"> </w:t>
      </w:r>
      <w:r w:rsidR="001C1D0A">
        <w:rPr>
          <w:color w:val="333333"/>
          <w:sz w:val="24"/>
          <w:szCs w:val="24"/>
        </w:rPr>
        <w:t xml:space="preserve">Patient </w:t>
      </w:r>
      <w:r>
        <w:rPr>
          <w:color w:val="333333"/>
          <w:sz w:val="24"/>
          <w:szCs w:val="24"/>
        </w:rPr>
        <w:t xml:space="preserve">received </w:t>
      </w:r>
      <w:r w:rsidR="001F2E44" w:rsidRPr="00D433CA">
        <w:rPr>
          <w:color w:val="333333"/>
          <w:sz w:val="24"/>
          <w:szCs w:val="24"/>
        </w:rPr>
        <w:t xml:space="preserve">six cycles of chemotherapy (three weeks apart) with paclitaxel plus cisplatin, under close surveillance on the outpatient section of Clinical Oncology. The option for intravenous chemotherapy in this setting </w:t>
      </w:r>
      <w:r>
        <w:rPr>
          <w:color w:val="333333"/>
          <w:sz w:val="24"/>
          <w:szCs w:val="24"/>
        </w:rPr>
        <w:t>was</w:t>
      </w:r>
      <w:r w:rsidR="001F2E44" w:rsidRPr="00D433CA">
        <w:rPr>
          <w:color w:val="333333"/>
          <w:sz w:val="24"/>
          <w:szCs w:val="24"/>
        </w:rPr>
        <w:t xml:space="preserve"> based on two major concerns. The very large abdominal cavity made it difficult to treat with intraperitoneal chemotherapy with </w:t>
      </w:r>
      <w:r w:rsidR="00133B1A">
        <w:rPr>
          <w:color w:val="333333"/>
          <w:sz w:val="24"/>
          <w:szCs w:val="24"/>
        </w:rPr>
        <w:t>cis</w:t>
      </w:r>
      <w:r w:rsidR="001F2E44" w:rsidRPr="00D433CA">
        <w:rPr>
          <w:color w:val="333333"/>
          <w:sz w:val="24"/>
          <w:szCs w:val="24"/>
        </w:rPr>
        <w:t xml:space="preserve">platin, and the persistence of elevated CA-129 after the cytoreduction. The levels of CA-125 were 374.8 and 222IU/mL (before and after the cytoreductive surgery), and post chemotherapy control was 7.1IU/mL. </w:t>
      </w:r>
    </w:p>
    <w:p w14:paraId="56AF4ACC" w14:textId="77777777" w:rsidR="002A0A74" w:rsidRDefault="002A0A74" w:rsidP="00D433CA">
      <w:pPr>
        <w:shd w:val="clear" w:color="auto" w:fill="FFFFFF"/>
        <w:spacing w:after="0"/>
        <w:rPr>
          <w:color w:val="333333"/>
          <w:sz w:val="24"/>
          <w:szCs w:val="24"/>
        </w:rPr>
      </w:pPr>
    </w:p>
    <w:p w14:paraId="1DD5481B" w14:textId="77777777" w:rsidR="001F2E44" w:rsidRPr="00D433CA" w:rsidRDefault="001F2E44" w:rsidP="001F2E44">
      <w:pPr>
        <w:shd w:val="clear" w:color="auto" w:fill="FFFFFF"/>
        <w:rPr>
          <w:color w:val="333333"/>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133B1A" w:rsidRPr="008D6F8A" w14:paraId="4522CE05" w14:textId="77777777" w:rsidTr="004D2E41">
        <w:tc>
          <w:tcPr>
            <w:tcW w:w="4657" w:type="dxa"/>
            <w:gridSpan w:val="3"/>
            <w:shd w:val="clear" w:color="auto" w:fill="auto"/>
          </w:tcPr>
          <w:p w14:paraId="1A3BFF0A" w14:textId="77777777" w:rsidR="00133B1A" w:rsidRDefault="00133B1A" w:rsidP="00133B1A">
            <w:pPr>
              <w:numPr>
                <w:ilvl w:val="0"/>
                <w:numId w:val="3"/>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399C2CAF" w14:textId="77777777" w:rsidR="00B3233E" w:rsidRDefault="00B3233E" w:rsidP="00B3233E">
            <w:pPr>
              <w:spacing w:after="0" w:line="240" w:lineRule="auto"/>
              <w:ind w:left="720"/>
              <w:contextualSpacing/>
              <w:rPr>
                <w:rFonts w:cs="Calibri"/>
                <w:b/>
                <w:bCs/>
                <w:color w:val="365F91"/>
              </w:rPr>
            </w:pPr>
          </w:p>
          <w:p w14:paraId="48B4184D" w14:textId="18A55DDE" w:rsidR="005C40FA" w:rsidRDefault="00133B1A" w:rsidP="00B3233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1B0ECCF7" w14:textId="77777777" w:rsidR="00B3233E" w:rsidRPr="00B3233E" w:rsidRDefault="00B3233E" w:rsidP="00B3233E">
            <w:pPr>
              <w:spacing w:after="0" w:line="240" w:lineRule="auto"/>
              <w:contextualSpacing/>
              <w:rPr>
                <w:rFonts w:cs="Calibri"/>
                <w:b/>
                <w:bCs/>
                <w:color w:val="365F91"/>
              </w:rPr>
            </w:pPr>
          </w:p>
          <w:p w14:paraId="40153044" w14:textId="77777777" w:rsidR="00133B1A" w:rsidRPr="008D6F8A" w:rsidRDefault="00133B1A" w:rsidP="004D2E41">
            <w:pPr>
              <w:spacing w:after="0" w:line="240" w:lineRule="auto"/>
              <w:contextualSpacing/>
              <w:rPr>
                <w:rFonts w:cs="Calibri"/>
                <w:b/>
                <w:bCs/>
                <w:color w:val="365F91"/>
              </w:rPr>
            </w:pPr>
          </w:p>
        </w:tc>
        <w:tc>
          <w:tcPr>
            <w:tcW w:w="4788" w:type="dxa"/>
            <w:gridSpan w:val="2"/>
            <w:shd w:val="clear" w:color="auto" w:fill="auto"/>
          </w:tcPr>
          <w:p w14:paraId="07E988EF" w14:textId="77777777" w:rsidR="00133B1A" w:rsidRPr="008D6F8A" w:rsidRDefault="00133B1A" w:rsidP="00133B1A">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2536DF57" w14:textId="1E7AE6DE" w:rsidR="00133B1A" w:rsidRPr="008D6F8A" w:rsidRDefault="00133B1A" w:rsidP="00B3233E">
            <w:pPr>
              <w:spacing w:after="0" w:line="240" w:lineRule="auto"/>
              <w:ind w:left="720"/>
              <w:contextualSpacing/>
              <w:rPr>
                <w:rFonts w:cs="Calibri"/>
                <w:b/>
                <w:bCs/>
                <w:color w:val="365F91"/>
              </w:rPr>
            </w:pPr>
          </w:p>
        </w:tc>
      </w:tr>
      <w:tr w:rsidR="00133B1A" w:rsidRPr="008D6F8A" w14:paraId="1DC0CE07" w14:textId="77777777" w:rsidTr="004D2E41">
        <w:tc>
          <w:tcPr>
            <w:tcW w:w="9445" w:type="dxa"/>
            <w:gridSpan w:val="5"/>
            <w:shd w:val="clear" w:color="auto" w:fill="auto"/>
          </w:tcPr>
          <w:p w14:paraId="63465F3F" w14:textId="77777777" w:rsidR="00133B1A" w:rsidRPr="008D6F8A" w:rsidRDefault="00133B1A"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133B1A" w:rsidRPr="008D6F8A" w14:paraId="2FF40DD4" w14:textId="77777777" w:rsidTr="004D2E41">
        <w:tc>
          <w:tcPr>
            <w:tcW w:w="2605" w:type="dxa"/>
            <w:shd w:val="clear" w:color="auto" w:fill="auto"/>
          </w:tcPr>
          <w:p w14:paraId="08ACA9BB" w14:textId="77777777" w:rsidR="00133B1A" w:rsidRPr="008D6F8A" w:rsidRDefault="00133B1A" w:rsidP="004D2E41">
            <w:pPr>
              <w:spacing w:after="0" w:line="256" w:lineRule="auto"/>
              <w:rPr>
                <w:rFonts w:cs="Calibri"/>
                <w:color w:val="365F91"/>
              </w:rPr>
            </w:pPr>
            <w:r>
              <w:rPr>
                <w:rFonts w:cs="Calibri"/>
                <w:color w:val="365F91"/>
              </w:rPr>
              <w:t>Summary Stage</w:t>
            </w:r>
          </w:p>
        </w:tc>
        <w:tc>
          <w:tcPr>
            <w:tcW w:w="1879" w:type="dxa"/>
            <w:shd w:val="clear" w:color="auto" w:fill="D3DFEE"/>
          </w:tcPr>
          <w:p w14:paraId="62F80D79" w14:textId="3F5429B9" w:rsidR="00133B1A" w:rsidRPr="008D6F8A" w:rsidRDefault="00133B1A" w:rsidP="004D2E41">
            <w:pPr>
              <w:spacing w:after="0" w:line="256" w:lineRule="auto"/>
              <w:rPr>
                <w:rFonts w:cs="Calibri"/>
                <w:color w:val="365F91"/>
              </w:rPr>
            </w:pPr>
          </w:p>
        </w:tc>
        <w:tc>
          <w:tcPr>
            <w:tcW w:w="2711" w:type="dxa"/>
            <w:gridSpan w:val="2"/>
            <w:shd w:val="clear" w:color="auto" w:fill="auto"/>
          </w:tcPr>
          <w:p w14:paraId="6129D10B" w14:textId="77777777" w:rsidR="00133B1A" w:rsidRPr="008D6F8A" w:rsidRDefault="00133B1A" w:rsidP="004D2E41">
            <w:pPr>
              <w:spacing w:after="0" w:line="256" w:lineRule="auto"/>
              <w:rPr>
                <w:rFonts w:cs="Calibri"/>
                <w:color w:val="365F91"/>
              </w:rPr>
            </w:pPr>
          </w:p>
        </w:tc>
        <w:tc>
          <w:tcPr>
            <w:tcW w:w="2250" w:type="dxa"/>
            <w:shd w:val="clear" w:color="auto" w:fill="D3DFEE"/>
          </w:tcPr>
          <w:p w14:paraId="1C457707" w14:textId="77777777" w:rsidR="00133B1A" w:rsidRPr="008D6F8A" w:rsidRDefault="00133B1A" w:rsidP="004D2E41">
            <w:pPr>
              <w:spacing w:after="0" w:line="256" w:lineRule="auto"/>
              <w:rPr>
                <w:rFonts w:cs="Calibri"/>
                <w:color w:val="365F91"/>
              </w:rPr>
            </w:pPr>
          </w:p>
        </w:tc>
      </w:tr>
      <w:tr w:rsidR="00133B1A" w:rsidRPr="008D6F8A" w14:paraId="4D3C9E26" w14:textId="77777777" w:rsidTr="004D2E41">
        <w:tc>
          <w:tcPr>
            <w:tcW w:w="2605" w:type="dxa"/>
            <w:shd w:val="clear" w:color="auto" w:fill="auto"/>
          </w:tcPr>
          <w:p w14:paraId="40C34007" w14:textId="77777777" w:rsidR="00133B1A" w:rsidRPr="008D6F8A" w:rsidRDefault="00133B1A"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1D7C275C" w14:textId="1AD18144" w:rsidR="00133B1A" w:rsidRPr="008D6F8A" w:rsidRDefault="00133B1A" w:rsidP="004D2E41">
            <w:pPr>
              <w:spacing w:after="0" w:line="256" w:lineRule="auto"/>
              <w:rPr>
                <w:rFonts w:cs="Calibri"/>
                <w:color w:val="365F91"/>
              </w:rPr>
            </w:pPr>
          </w:p>
        </w:tc>
        <w:tc>
          <w:tcPr>
            <w:tcW w:w="2711" w:type="dxa"/>
            <w:gridSpan w:val="2"/>
            <w:shd w:val="clear" w:color="auto" w:fill="auto"/>
          </w:tcPr>
          <w:p w14:paraId="3EFEAD98" w14:textId="77777777" w:rsidR="00133B1A" w:rsidRPr="008D6F8A" w:rsidRDefault="00133B1A"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4B566A66" w14:textId="236B9EE2" w:rsidR="00133B1A" w:rsidRPr="008D6F8A" w:rsidRDefault="00133B1A" w:rsidP="004D2E41">
            <w:pPr>
              <w:spacing w:after="0" w:line="256" w:lineRule="auto"/>
              <w:rPr>
                <w:rFonts w:cs="Calibri"/>
                <w:color w:val="365F91"/>
              </w:rPr>
            </w:pPr>
          </w:p>
        </w:tc>
      </w:tr>
      <w:tr w:rsidR="00133B1A" w:rsidRPr="008D6F8A" w14:paraId="2C51032C" w14:textId="77777777" w:rsidTr="004D2E41">
        <w:trPr>
          <w:trHeight w:val="242"/>
        </w:trPr>
        <w:tc>
          <w:tcPr>
            <w:tcW w:w="2605" w:type="dxa"/>
            <w:shd w:val="clear" w:color="auto" w:fill="auto"/>
          </w:tcPr>
          <w:p w14:paraId="298C0281" w14:textId="77777777" w:rsidR="00133B1A" w:rsidRPr="008D6F8A" w:rsidRDefault="00133B1A"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7B48DB83" w14:textId="7258C61F" w:rsidR="00133B1A" w:rsidRPr="008D6F8A" w:rsidRDefault="00133B1A" w:rsidP="004D2E41">
            <w:pPr>
              <w:spacing w:after="0" w:line="256" w:lineRule="auto"/>
              <w:rPr>
                <w:rFonts w:cs="Calibri"/>
                <w:color w:val="365F91"/>
              </w:rPr>
            </w:pPr>
          </w:p>
        </w:tc>
        <w:tc>
          <w:tcPr>
            <w:tcW w:w="2711" w:type="dxa"/>
            <w:gridSpan w:val="2"/>
            <w:shd w:val="clear" w:color="auto" w:fill="auto"/>
          </w:tcPr>
          <w:p w14:paraId="351A29D3" w14:textId="77777777" w:rsidR="00133B1A" w:rsidRPr="008D6F8A" w:rsidRDefault="00133B1A"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47C35998" w14:textId="72BB0D9A" w:rsidR="00133B1A" w:rsidRPr="008D6F8A" w:rsidRDefault="00133B1A" w:rsidP="004D2E41">
            <w:pPr>
              <w:spacing w:after="0" w:line="256" w:lineRule="auto"/>
              <w:rPr>
                <w:rFonts w:cs="Calibri"/>
                <w:color w:val="365F91"/>
              </w:rPr>
            </w:pPr>
          </w:p>
        </w:tc>
      </w:tr>
      <w:tr w:rsidR="00133B1A" w:rsidRPr="008D6F8A" w14:paraId="641C8184" w14:textId="77777777" w:rsidTr="004D2E41">
        <w:tc>
          <w:tcPr>
            <w:tcW w:w="2605" w:type="dxa"/>
            <w:shd w:val="clear" w:color="auto" w:fill="auto"/>
          </w:tcPr>
          <w:p w14:paraId="3AF3787D" w14:textId="77777777" w:rsidR="00133B1A" w:rsidRPr="008D6F8A" w:rsidRDefault="00133B1A"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29623485" w14:textId="52B58AD9" w:rsidR="00133B1A" w:rsidRPr="008D6F8A" w:rsidRDefault="00133B1A" w:rsidP="004D2E41">
            <w:pPr>
              <w:spacing w:after="0" w:line="256" w:lineRule="auto"/>
              <w:rPr>
                <w:rFonts w:cs="Calibri"/>
                <w:color w:val="365F91"/>
              </w:rPr>
            </w:pPr>
          </w:p>
        </w:tc>
        <w:tc>
          <w:tcPr>
            <w:tcW w:w="2711" w:type="dxa"/>
            <w:gridSpan w:val="2"/>
            <w:shd w:val="clear" w:color="auto" w:fill="auto"/>
          </w:tcPr>
          <w:p w14:paraId="37859561" w14:textId="77777777" w:rsidR="00133B1A" w:rsidRPr="008D6F8A" w:rsidRDefault="00133B1A"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1AC07385" w14:textId="0D05D46B" w:rsidR="00133B1A" w:rsidRPr="008D6F8A" w:rsidRDefault="00133B1A" w:rsidP="004D2E41">
            <w:pPr>
              <w:spacing w:after="0" w:line="256" w:lineRule="auto"/>
              <w:rPr>
                <w:rFonts w:cs="Calibri"/>
                <w:color w:val="365F91"/>
              </w:rPr>
            </w:pPr>
          </w:p>
        </w:tc>
      </w:tr>
      <w:tr w:rsidR="00133B1A" w:rsidRPr="008D6F8A" w14:paraId="016A4C11" w14:textId="77777777" w:rsidTr="004D2E41">
        <w:tc>
          <w:tcPr>
            <w:tcW w:w="2605" w:type="dxa"/>
            <w:shd w:val="clear" w:color="auto" w:fill="auto"/>
          </w:tcPr>
          <w:p w14:paraId="34A19ABE" w14:textId="77777777" w:rsidR="00133B1A" w:rsidRPr="008D6F8A" w:rsidRDefault="00133B1A"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36BA332E" w14:textId="199C7CC7" w:rsidR="00133B1A" w:rsidRPr="008D6F8A" w:rsidRDefault="00133B1A" w:rsidP="004D2E41">
            <w:pPr>
              <w:spacing w:after="0" w:line="256" w:lineRule="auto"/>
              <w:rPr>
                <w:rFonts w:cs="Calibri"/>
                <w:color w:val="365F91"/>
              </w:rPr>
            </w:pPr>
          </w:p>
        </w:tc>
        <w:tc>
          <w:tcPr>
            <w:tcW w:w="2711" w:type="dxa"/>
            <w:gridSpan w:val="2"/>
            <w:shd w:val="clear" w:color="auto" w:fill="auto"/>
          </w:tcPr>
          <w:p w14:paraId="204A427B" w14:textId="77777777" w:rsidR="00133B1A" w:rsidRPr="008D6F8A" w:rsidRDefault="00133B1A"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5BE52932" w14:textId="33B2CFEF" w:rsidR="00133B1A" w:rsidRPr="008D6F8A" w:rsidRDefault="00133B1A" w:rsidP="004D2E41">
            <w:pPr>
              <w:spacing w:after="0" w:line="256" w:lineRule="auto"/>
              <w:rPr>
                <w:rFonts w:cs="Calibri"/>
                <w:color w:val="365F91"/>
              </w:rPr>
            </w:pPr>
          </w:p>
        </w:tc>
      </w:tr>
    </w:tbl>
    <w:p w14:paraId="65F4E70A" w14:textId="77777777" w:rsidR="001F2E44" w:rsidRDefault="001F2E44" w:rsidP="001F2E44">
      <w:pPr>
        <w:shd w:val="clear" w:color="auto" w:fill="FFFFFF"/>
        <w:rPr>
          <w:color w:val="333333"/>
          <w:sz w:val="24"/>
          <w:szCs w:val="24"/>
        </w:rPr>
      </w:pPr>
    </w:p>
    <w:p w14:paraId="7F5053AE" w14:textId="77777777" w:rsidR="00BB09BE" w:rsidRDefault="00BB09BE" w:rsidP="00BB09BE">
      <w:pPr>
        <w:jc w:val="center"/>
        <w:rPr>
          <w:color w:val="1F497D"/>
          <w:sz w:val="24"/>
          <w:szCs w:val="24"/>
        </w:rPr>
      </w:pPr>
    </w:p>
    <w:p w14:paraId="47A738D7" w14:textId="77777777" w:rsidR="00BB09BE" w:rsidRDefault="00BB09BE" w:rsidP="00BB09BE">
      <w:pPr>
        <w:jc w:val="center"/>
        <w:rPr>
          <w:color w:val="1F497D"/>
          <w:sz w:val="24"/>
          <w:szCs w:val="24"/>
        </w:rPr>
      </w:pPr>
    </w:p>
    <w:p w14:paraId="753C690B" w14:textId="77777777" w:rsidR="00BB09BE" w:rsidRDefault="00BB09BE" w:rsidP="00BB09BE">
      <w:pPr>
        <w:jc w:val="center"/>
        <w:rPr>
          <w:color w:val="1F497D"/>
          <w:sz w:val="24"/>
          <w:szCs w:val="24"/>
        </w:rPr>
      </w:pPr>
    </w:p>
    <w:p w14:paraId="5A613F92" w14:textId="77777777" w:rsidR="00BB09BE" w:rsidRPr="001B337A" w:rsidRDefault="00BB09BE" w:rsidP="00BB09BE">
      <w:pPr>
        <w:jc w:val="center"/>
        <w:rPr>
          <w:color w:val="1F497D"/>
          <w:sz w:val="24"/>
          <w:szCs w:val="24"/>
        </w:rPr>
      </w:pPr>
      <w:r>
        <w:rPr>
          <w:color w:val="1F497D"/>
          <w:sz w:val="24"/>
          <w:szCs w:val="24"/>
        </w:rPr>
        <w:lastRenderedPageBreak/>
        <w:t>AJCC Staging Case Scenario #2</w:t>
      </w:r>
    </w:p>
    <w:p w14:paraId="5FD0ADC3"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Case History:</w:t>
      </w:r>
    </w:p>
    <w:p w14:paraId="63A6F6FE"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1/22/2016 </w:t>
      </w:r>
      <w:r w:rsidRPr="00EF1B79">
        <w:rPr>
          <w:rFonts w:asciiTheme="minorHAnsi" w:hAnsiTheme="minorHAnsi"/>
        </w:rPr>
        <w:t>A 70-year-old male with a history of atrial fibrillation, hypertension and benign prostatic hyperplasia (BPH) presented with elevated prostate spec</w:t>
      </w:r>
      <w:r>
        <w:rPr>
          <w:rFonts w:asciiTheme="minorHAnsi" w:hAnsiTheme="minorHAnsi"/>
        </w:rPr>
        <w:t xml:space="preserve">ific antigen (PSA) of 4.5 ng/ml. </w:t>
      </w:r>
      <w:r w:rsidRPr="00EF1B79">
        <w:rPr>
          <w:rFonts w:asciiTheme="minorHAnsi" w:hAnsiTheme="minorHAnsi"/>
        </w:rPr>
        <w:t xml:space="preserve">He had been followed by his urologist for the previous six years with regular PSA monitoring. He had no family history of prostate cancer and underwent a TURP 2 years prior for BPH. His atrial fibrillation and hypertension were managed by Coumadin, Toprol, Lanoxin and Zestoretic. The patient’s symptoms included nocturia times two and a history of erectile dysfunction. Patient denies a history of dysuria, hematuria, urinary incontinence, urinary urgency, urinary frequency or hesitancy. </w:t>
      </w:r>
    </w:p>
    <w:p w14:paraId="175E505B"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D</w:t>
      </w:r>
      <w:r w:rsidRPr="00EF1B79">
        <w:rPr>
          <w:rFonts w:asciiTheme="minorHAnsi" w:hAnsiTheme="minorHAnsi"/>
        </w:rPr>
        <w:t>igital rectal examination</w:t>
      </w:r>
      <w:r>
        <w:rPr>
          <w:rFonts w:asciiTheme="minorHAnsi" w:hAnsiTheme="minorHAnsi"/>
        </w:rPr>
        <w:t xml:space="preserve"> showed and enlarged, but benign prostate.</w:t>
      </w:r>
    </w:p>
    <w:p w14:paraId="183D83FC" w14:textId="77777777" w:rsidR="00BB09BE" w:rsidRPr="00EF1B79" w:rsidRDefault="00BB09BE" w:rsidP="00BB09BE">
      <w:pPr>
        <w:pStyle w:val="para"/>
        <w:spacing w:before="0" w:beforeAutospacing="0" w:after="0" w:afterAutospacing="0"/>
        <w:ind w:left="720"/>
        <w:rPr>
          <w:rFonts w:asciiTheme="minorHAnsi" w:hAnsiTheme="minorHAnsi"/>
        </w:rPr>
      </w:pPr>
    </w:p>
    <w:p w14:paraId="0AFD149F"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Imaging</w:t>
      </w:r>
      <w:r>
        <w:rPr>
          <w:rFonts w:asciiTheme="minorHAnsi" w:hAnsiTheme="minorHAnsi"/>
          <w:b/>
        </w:rPr>
        <w:t xml:space="preserve"> and Procedure(s)</w:t>
      </w:r>
    </w:p>
    <w:p w14:paraId="2A0CC279"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1/28/2016 </w:t>
      </w:r>
      <w:r w:rsidRPr="001B337A">
        <w:rPr>
          <w:rFonts w:asciiTheme="minorHAnsi" w:hAnsiTheme="minorHAnsi"/>
        </w:rPr>
        <w:t>Transrectal ultrasound (TRUS) guided biopsy</w:t>
      </w:r>
      <w:r w:rsidRPr="00EF1B79">
        <w:rPr>
          <w:rFonts w:asciiTheme="minorHAnsi" w:hAnsiTheme="minorHAnsi"/>
        </w:rPr>
        <w:t xml:space="preserve"> revealed adenocarcinoma of the prostate in 6 of 12 biopsy cores, all of which were less than 5% positive and a Gleason score of 3 + 3. Tumor was found</w:t>
      </w:r>
      <w:r>
        <w:rPr>
          <w:rFonts w:asciiTheme="minorHAnsi" w:hAnsiTheme="minorHAnsi"/>
        </w:rPr>
        <w:t xml:space="preserve"> in both lobes of the prostate.</w:t>
      </w:r>
    </w:p>
    <w:p w14:paraId="468D63F7" w14:textId="77777777" w:rsidR="00BB09BE" w:rsidRDefault="00BB09BE" w:rsidP="00BB09BE">
      <w:pPr>
        <w:pStyle w:val="para"/>
        <w:spacing w:before="0" w:beforeAutospacing="0" w:after="0" w:afterAutospacing="0"/>
        <w:ind w:left="720"/>
        <w:rPr>
          <w:rFonts w:asciiTheme="minorHAnsi" w:hAnsiTheme="minorHAnsi"/>
        </w:rPr>
      </w:pPr>
    </w:p>
    <w:p w14:paraId="3940C390"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2/04/2016 </w:t>
      </w:r>
      <w:r w:rsidRPr="001B337A">
        <w:rPr>
          <w:rFonts w:asciiTheme="minorHAnsi" w:hAnsiTheme="minorHAnsi"/>
        </w:rPr>
        <w:t>CT scan of the abdomen/pelvis</w:t>
      </w:r>
      <w:r w:rsidRPr="00EF1B79">
        <w:rPr>
          <w:rFonts w:asciiTheme="minorHAnsi" w:hAnsiTheme="minorHAnsi"/>
        </w:rPr>
        <w:t xml:space="preserve"> was unremarkable</w:t>
      </w:r>
      <w:r>
        <w:rPr>
          <w:rFonts w:asciiTheme="minorHAnsi" w:hAnsiTheme="minorHAnsi"/>
        </w:rPr>
        <w:t xml:space="preserve">. </w:t>
      </w:r>
    </w:p>
    <w:p w14:paraId="049B3412" w14:textId="77777777" w:rsidR="00BB09BE" w:rsidRDefault="00BB09BE" w:rsidP="00BB09BE">
      <w:pPr>
        <w:pStyle w:val="para"/>
        <w:spacing w:before="0" w:beforeAutospacing="0" w:after="0" w:afterAutospacing="0"/>
        <w:ind w:left="720"/>
        <w:rPr>
          <w:rFonts w:asciiTheme="minorHAnsi" w:hAnsiTheme="minorHAnsi"/>
        </w:rPr>
      </w:pPr>
      <w:r w:rsidRPr="00EF1B79">
        <w:rPr>
          <w:rFonts w:asciiTheme="minorHAnsi" w:hAnsiTheme="minorHAnsi"/>
        </w:rPr>
        <w:t xml:space="preserve"> </w:t>
      </w:r>
    </w:p>
    <w:p w14:paraId="51295853"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2/06/2016 </w:t>
      </w:r>
      <w:r w:rsidRPr="001B337A">
        <w:rPr>
          <w:rFonts w:asciiTheme="minorHAnsi" w:hAnsiTheme="minorHAnsi"/>
        </w:rPr>
        <w:t>Bone scan</w:t>
      </w:r>
      <w:r w:rsidRPr="00EF1B79">
        <w:rPr>
          <w:rFonts w:asciiTheme="minorHAnsi" w:hAnsiTheme="minorHAnsi"/>
        </w:rPr>
        <w:t xml:space="preserve"> was negative for metastatic disease. </w:t>
      </w:r>
    </w:p>
    <w:p w14:paraId="3A2E546D" w14:textId="77777777" w:rsidR="00BB09BE" w:rsidRDefault="00BB09BE" w:rsidP="00BB09BE">
      <w:pPr>
        <w:pStyle w:val="para"/>
        <w:spacing w:before="0" w:beforeAutospacing="0" w:after="0" w:afterAutospacing="0"/>
        <w:ind w:left="720"/>
        <w:rPr>
          <w:rFonts w:asciiTheme="minorHAnsi" w:hAnsiTheme="minorHAnsi"/>
        </w:rPr>
      </w:pPr>
    </w:p>
    <w:p w14:paraId="1E699F22"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Treatment Planning Process</w:t>
      </w:r>
    </w:p>
    <w:p w14:paraId="550AA468"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3/12/2016 </w:t>
      </w:r>
      <w:r w:rsidRPr="001B337A">
        <w:rPr>
          <w:rFonts w:asciiTheme="minorHAnsi" w:hAnsiTheme="minorHAnsi"/>
        </w:rPr>
        <w:t>Four fiducial markers</w:t>
      </w:r>
      <w:r w:rsidRPr="00EF1B79">
        <w:rPr>
          <w:rFonts w:asciiTheme="minorHAnsi" w:hAnsiTheme="minorHAnsi"/>
        </w:rPr>
        <w:t xml:space="preserve"> were placed under intravenous conscious sedation in the prostate by the urologist using a TRUS</w:t>
      </w:r>
      <w:r>
        <w:rPr>
          <w:rFonts w:asciiTheme="minorHAnsi" w:hAnsiTheme="minorHAnsi"/>
        </w:rPr>
        <w:t xml:space="preserve"> </w:t>
      </w:r>
      <w:r w:rsidRPr="00EF1B79">
        <w:rPr>
          <w:rFonts w:asciiTheme="minorHAnsi" w:hAnsiTheme="minorHAnsi"/>
        </w:rPr>
        <w:t xml:space="preserve">guided template. </w:t>
      </w:r>
    </w:p>
    <w:p w14:paraId="14520772" w14:textId="77777777" w:rsidR="00BB09BE" w:rsidRDefault="00BB09BE" w:rsidP="00BB09BE">
      <w:pPr>
        <w:pStyle w:val="para"/>
        <w:spacing w:before="0" w:beforeAutospacing="0" w:after="0" w:afterAutospacing="0"/>
        <w:ind w:left="720"/>
        <w:rPr>
          <w:rFonts w:asciiTheme="minorHAnsi" w:hAnsiTheme="minorHAnsi"/>
        </w:rPr>
      </w:pPr>
    </w:p>
    <w:p w14:paraId="29F455D7"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3/14//2016 </w:t>
      </w:r>
      <w:r w:rsidRPr="001B337A">
        <w:rPr>
          <w:rFonts w:asciiTheme="minorHAnsi" w:hAnsiTheme="minorHAnsi"/>
        </w:rPr>
        <w:t>CT study was performed</w:t>
      </w:r>
      <w:r w:rsidRPr="00EF1B79">
        <w:rPr>
          <w:rFonts w:asciiTheme="minorHAnsi" w:hAnsiTheme="minorHAnsi"/>
        </w:rPr>
        <w:t xml:space="preserve"> with the patient in the treatment position using a custom immobilization device. The fiducial locations were identified and the prostate and critical structures (rectum, bladder, and urethra) were contoured. The planning target volume (PTV) included the prostate with a 5-mm margin in all directions except for a smaller 3-mm posterior margin to decrease dosage to the rectum. Treatment planning was designed to encompass 95% of the target volume and minimize dose to critical structures. </w:t>
      </w:r>
    </w:p>
    <w:p w14:paraId="1D8DE024" w14:textId="77777777" w:rsidR="00BB09BE" w:rsidRDefault="00BB09BE" w:rsidP="00BB09BE">
      <w:pPr>
        <w:pStyle w:val="para"/>
        <w:spacing w:before="0" w:beforeAutospacing="0" w:after="0" w:afterAutospacing="0"/>
        <w:ind w:left="720"/>
        <w:rPr>
          <w:rFonts w:asciiTheme="minorHAnsi" w:hAnsiTheme="minorHAnsi"/>
        </w:rPr>
      </w:pPr>
    </w:p>
    <w:p w14:paraId="66DC800B"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 xml:space="preserve">Treatment Rationale </w:t>
      </w:r>
    </w:p>
    <w:p w14:paraId="34292454"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3/20/2016 P</w:t>
      </w:r>
      <w:r w:rsidRPr="00EF1B79">
        <w:rPr>
          <w:rFonts w:asciiTheme="minorHAnsi" w:hAnsiTheme="minorHAnsi"/>
        </w:rPr>
        <w:t xml:space="preserve">atient was evaluated by Urology and Radiation Oncology for his prostate cancer. Treatment options included surgery, external beam radiation therapy (IMRT, conformal) and CyberKnife monotherapy. The patient wanted a less invasive and convenient therapy in order to continue his work and day to day activities and therefore elected for CyberKnife monotherapy. </w:t>
      </w:r>
    </w:p>
    <w:p w14:paraId="2963676F" w14:textId="77777777" w:rsidR="00BB09BE" w:rsidRDefault="00BB09BE" w:rsidP="00BB09BE">
      <w:pPr>
        <w:pStyle w:val="para"/>
        <w:spacing w:before="0" w:beforeAutospacing="0" w:after="0" w:afterAutospacing="0"/>
        <w:ind w:left="720"/>
        <w:rPr>
          <w:rFonts w:asciiTheme="minorHAnsi" w:hAnsiTheme="minorHAnsi"/>
        </w:rPr>
      </w:pPr>
    </w:p>
    <w:p w14:paraId="0284CA58" w14:textId="7869E507" w:rsidR="00236BF8" w:rsidRDefault="00236BF8">
      <w:pPr>
        <w:rPr>
          <w:rFonts w:eastAsia="Times New Roman" w:cs="Times New Roman"/>
          <w:b/>
          <w:sz w:val="24"/>
          <w:szCs w:val="24"/>
        </w:rPr>
      </w:pPr>
      <w:r>
        <w:rPr>
          <w:b/>
        </w:rPr>
        <w:br w:type="page"/>
      </w:r>
    </w:p>
    <w:p w14:paraId="11843AC0" w14:textId="77777777" w:rsidR="00F25ED0" w:rsidRDefault="00F25ED0" w:rsidP="00BB09BE">
      <w:pPr>
        <w:pStyle w:val="para"/>
        <w:spacing w:before="0" w:beforeAutospacing="0" w:after="0" w:afterAutospacing="0"/>
        <w:ind w:left="720"/>
        <w:rPr>
          <w:rFonts w:asciiTheme="minorHAnsi" w:hAnsiTheme="minorHAnsi"/>
          <w:b/>
        </w:rPr>
      </w:pPr>
    </w:p>
    <w:p w14:paraId="6583DAA6" w14:textId="77777777" w:rsidR="00BB09BE" w:rsidRPr="00116ACF" w:rsidRDefault="00BB09BE" w:rsidP="00BB09BE">
      <w:pPr>
        <w:pStyle w:val="para"/>
        <w:spacing w:before="0" w:beforeAutospacing="0" w:after="0" w:afterAutospacing="0"/>
        <w:ind w:left="720"/>
        <w:rPr>
          <w:rFonts w:asciiTheme="minorHAnsi" w:hAnsiTheme="minorHAnsi"/>
          <w:b/>
        </w:rPr>
      </w:pPr>
      <w:r w:rsidRPr="00116ACF">
        <w:rPr>
          <w:rFonts w:asciiTheme="minorHAnsi" w:hAnsiTheme="minorHAnsi"/>
          <w:b/>
        </w:rPr>
        <w:t>Treatment Details</w:t>
      </w:r>
    </w:p>
    <w:p w14:paraId="0E67FD88"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 xml:space="preserve">4/17/2016 </w:t>
      </w:r>
      <w:r w:rsidRPr="00EF1B79">
        <w:rPr>
          <w:rFonts w:asciiTheme="minorHAnsi" w:hAnsiTheme="minorHAnsi"/>
        </w:rPr>
        <w:t>The patient began treatment</w:t>
      </w:r>
      <w:r>
        <w:rPr>
          <w:rFonts w:asciiTheme="minorHAnsi" w:hAnsiTheme="minorHAnsi"/>
        </w:rPr>
        <w:t xml:space="preserve"> with a</w:t>
      </w:r>
      <w:r w:rsidRPr="00EF1B79">
        <w:rPr>
          <w:rFonts w:asciiTheme="minorHAnsi" w:hAnsiTheme="minorHAnsi"/>
        </w:rPr>
        <w:t xml:space="preserve"> prescription dose of 35 Gy </w:t>
      </w:r>
      <w:r>
        <w:rPr>
          <w:rFonts w:asciiTheme="minorHAnsi" w:hAnsiTheme="minorHAnsi"/>
        </w:rPr>
        <w:t xml:space="preserve">to be </w:t>
      </w:r>
      <w:r w:rsidRPr="00EF1B79">
        <w:rPr>
          <w:rFonts w:asciiTheme="minorHAnsi" w:hAnsiTheme="minorHAnsi"/>
        </w:rPr>
        <w:t xml:space="preserve">delivered in 5 fractions over 5 consecutive days to the 82% isodose line. </w:t>
      </w:r>
    </w:p>
    <w:p w14:paraId="4675FB1C" w14:textId="77777777" w:rsidR="00BB09BE" w:rsidRDefault="00BB09BE" w:rsidP="00BB09BE">
      <w:pPr>
        <w:pStyle w:val="para"/>
        <w:spacing w:before="0" w:beforeAutospacing="0" w:after="0" w:afterAutospacing="0"/>
        <w:ind w:left="720"/>
        <w:rPr>
          <w:rFonts w:asciiTheme="minorHAnsi" w:hAnsiTheme="minorHAnsi"/>
        </w:rPr>
      </w:pPr>
    </w:p>
    <w:p w14:paraId="372F3D8F" w14:textId="77777777" w:rsidR="00BB09BE" w:rsidRDefault="00BB09BE" w:rsidP="00BB09BE">
      <w:pPr>
        <w:pStyle w:val="para"/>
        <w:spacing w:before="0" w:beforeAutospacing="0" w:after="0" w:afterAutospacing="0"/>
        <w:ind w:left="720"/>
        <w:rPr>
          <w:rFonts w:asciiTheme="minorHAnsi" w:hAnsiTheme="minorHAnsi"/>
        </w:rPr>
      </w:pPr>
      <w:r>
        <w:rPr>
          <w:rFonts w:asciiTheme="minorHAnsi" w:hAnsiTheme="minorHAnsi"/>
        </w:rPr>
        <w:t>5/07/2016 The</w:t>
      </w:r>
      <w:r w:rsidRPr="00EF1B79">
        <w:rPr>
          <w:rFonts w:asciiTheme="minorHAnsi" w:hAnsiTheme="minorHAnsi"/>
        </w:rPr>
        <w:t xml:space="preserve"> patient reported mild urinary frequency and mild urgency 5 days after completion of last fraction of radiosurgery and was treated with Pyridium with resolution of symptoms. Overall, the patient tolerated the treatment well. </w:t>
      </w:r>
    </w:p>
    <w:p w14:paraId="2A596F5E" w14:textId="77777777" w:rsidR="00BB09BE" w:rsidRDefault="00BB09BE" w:rsidP="00BB09BE">
      <w:pPr>
        <w:pStyle w:val="para"/>
        <w:spacing w:before="0" w:beforeAutospacing="0" w:after="0" w:afterAutospacing="0"/>
        <w:ind w:left="720"/>
        <w:rPr>
          <w:rFonts w:asciiTheme="minorHAnsi" w:hAnsiTheme="minorHAnsi"/>
        </w:rPr>
      </w:pPr>
    </w:p>
    <w:p w14:paraId="44122983" w14:textId="77777777" w:rsidR="00BB09BE" w:rsidRDefault="00BB09BE" w:rsidP="00BB09BE">
      <w:pPr>
        <w:pStyle w:val="para"/>
        <w:spacing w:before="0" w:beforeAutospacing="0" w:after="0" w:afterAutospacing="0"/>
        <w:ind w:left="720"/>
        <w:rPr>
          <w:rFonts w:asciiTheme="minorHAnsi" w:hAnsiTheme="minorHAnsi"/>
        </w:rPr>
      </w:pPr>
    </w:p>
    <w:p w14:paraId="07CF618E" w14:textId="77777777" w:rsidR="00BB09BE" w:rsidRDefault="00BB09BE" w:rsidP="00BB09BE">
      <w:pPr>
        <w:pStyle w:val="para"/>
        <w:spacing w:before="0" w:beforeAutospacing="0" w:after="0" w:afterAutospacing="0"/>
        <w:ind w:left="720"/>
        <w:rPr>
          <w:rFonts w:asciiTheme="minorHAnsi" w:hAnsi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BB09BE" w:rsidRPr="008D6F8A" w14:paraId="1682B093" w14:textId="77777777" w:rsidTr="004D2E41">
        <w:tc>
          <w:tcPr>
            <w:tcW w:w="4657" w:type="dxa"/>
            <w:gridSpan w:val="3"/>
            <w:shd w:val="clear" w:color="auto" w:fill="auto"/>
          </w:tcPr>
          <w:p w14:paraId="39DE4BB2" w14:textId="77777777" w:rsidR="00BB09BE" w:rsidRDefault="00BB09BE" w:rsidP="00BB09BE">
            <w:pPr>
              <w:numPr>
                <w:ilvl w:val="0"/>
                <w:numId w:val="3"/>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200AAD9A" w14:textId="624CAF96" w:rsidR="00BB09BE" w:rsidRPr="008D6F8A" w:rsidRDefault="00BB09BE" w:rsidP="004D2E41">
            <w:pPr>
              <w:spacing w:after="0" w:line="240" w:lineRule="auto"/>
              <w:ind w:left="720"/>
              <w:contextualSpacing/>
              <w:rPr>
                <w:rFonts w:cs="Calibri"/>
                <w:b/>
                <w:bCs/>
                <w:color w:val="365F91"/>
              </w:rPr>
            </w:pPr>
          </w:p>
          <w:p w14:paraId="54B2C0CA" w14:textId="77777777" w:rsidR="00BB09BE" w:rsidRDefault="00BB09BE" w:rsidP="00BB09B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689AE909" w14:textId="32F902FB" w:rsidR="005C40FA" w:rsidRDefault="005C40FA" w:rsidP="005C40FA">
            <w:pPr>
              <w:spacing w:after="0" w:line="240" w:lineRule="auto"/>
              <w:ind w:left="720"/>
              <w:contextualSpacing/>
              <w:rPr>
                <w:rFonts w:cs="Calibri"/>
                <w:b/>
                <w:bCs/>
                <w:color w:val="365F91"/>
              </w:rPr>
            </w:pPr>
          </w:p>
          <w:p w14:paraId="19EAEE71" w14:textId="77777777" w:rsidR="00BB09BE" w:rsidRPr="008D6F8A" w:rsidRDefault="00BB09BE" w:rsidP="004D2E41">
            <w:pPr>
              <w:spacing w:after="0" w:line="240" w:lineRule="auto"/>
              <w:contextualSpacing/>
              <w:rPr>
                <w:rFonts w:cs="Calibri"/>
                <w:b/>
                <w:bCs/>
                <w:color w:val="365F91"/>
              </w:rPr>
            </w:pPr>
          </w:p>
        </w:tc>
        <w:tc>
          <w:tcPr>
            <w:tcW w:w="4788" w:type="dxa"/>
            <w:gridSpan w:val="2"/>
            <w:shd w:val="clear" w:color="auto" w:fill="auto"/>
          </w:tcPr>
          <w:p w14:paraId="64CA154D" w14:textId="77777777" w:rsidR="00BB09BE" w:rsidRPr="008D6F8A" w:rsidRDefault="00BB09BE" w:rsidP="00BB09BE">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37A02A47" w14:textId="3DCC5103" w:rsidR="00BB09BE" w:rsidRPr="008D6F8A" w:rsidRDefault="00BB09BE" w:rsidP="00B3233E">
            <w:pPr>
              <w:spacing w:after="0" w:line="240" w:lineRule="auto"/>
              <w:ind w:left="720"/>
              <w:contextualSpacing/>
              <w:rPr>
                <w:rFonts w:cs="Calibri"/>
                <w:b/>
                <w:bCs/>
                <w:color w:val="365F91"/>
              </w:rPr>
            </w:pPr>
          </w:p>
        </w:tc>
      </w:tr>
      <w:tr w:rsidR="00BB09BE" w:rsidRPr="008D6F8A" w14:paraId="188C790C" w14:textId="77777777" w:rsidTr="004D2E41">
        <w:tc>
          <w:tcPr>
            <w:tcW w:w="9445" w:type="dxa"/>
            <w:gridSpan w:val="5"/>
            <w:shd w:val="clear" w:color="auto" w:fill="auto"/>
          </w:tcPr>
          <w:p w14:paraId="2EBCB585" w14:textId="77777777" w:rsidR="00BB09BE" w:rsidRPr="008D6F8A" w:rsidRDefault="00BB09BE"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BB09BE" w:rsidRPr="008D6F8A" w14:paraId="5F7E1E26" w14:textId="77777777" w:rsidTr="004D2E41">
        <w:tc>
          <w:tcPr>
            <w:tcW w:w="2605" w:type="dxa"/>
            <w:shd w:val="clear" w:color="auto" w:fill="auto"/>
          </w:tcPr>
          <w:p w14:paraId="600C9102" w14:textId="77777777" w:rsidR="00BB09BE" w:rsidRPr="008D6F8A" w:rsidRDefault="00BB09BE" w:rsidP="004D2E41">
            <w:pPr>
              <w:spacing w:after="0" w:line="256" w:lineRule="auto"/>
              <w:rPr>
                <w:rFonts w:cs="Calibri"/>
                <w:color w:val="365F91"/>
              </w:rPr>
            </w:pPr>
            <w:r>
              <w:rPr>
                <w:rFonts w:cs="Calibri"/>
                <w:color w:val="365F91"/>
              </w:rPr>
              <w:t>Summary Stage</w:t>
            </w:r>
          </w:p>
        </w:tc>
        <w:tc>
          <w:tcPr>
            <w:tcW w:w="1879" w:type="dxa"/>
            <w:shd w:val="clear" w:color="auto" w:fill="D3DFEE"/>
          </w:tcPr>
          <w:p w14:paraId="5D23D6C9" w14:textId="15F429D5" w:rsidR="00BB09BE" w:rsidRPr="008D6F8A" w:rsidRDefault="00BB09BE" w:rsidP="004D2E41">
            <w:pPr>
              <w:spacing w:after="0" w:line="256" w:lineRule="auto"/>
              <w:rPr>
                <w:rFonts w:cs="Calibri"/>
                <w:color w:val="365F91"/>
              </w:rPr>
            </w:pPr>
          </w:p>
        </w:tc>
        <w:tc>
          <w:tcPr>
            <w:tcW w:w="2711" w:type="dxa"/>
            <w:gridSpan w:val="2"/>
            <w:shd w:val="clear" w:color="auto" w:fill="auto"/>
          </w:tcPr>
          <w:p w14:paraId="42F3CDC9" w14:textId="77777777" w:rsidR="00BB09BE" w:rsidRPr="008D6F8A" w:rsidRDefault="00BB09BE" w:rsidP="004D2E41">
            <w:pPr>
              <w:spacing w:after="0" w:line="256" w:lineRule="auto"/>
              <w:rPr>
                <w:rFonts w:cs="Calibri"/>
                <w:color w:val="365F91"/>
              </w:rPr>
            </w:pPr>
          </w:p>
        </w:tc>
        <w:tc>
          <w:tcPr>
            <w:tcW w:w="2250" w:type="dxa"/>
            <w:shd w:val="clear" w:color="auto" w:fill="D3DFEE"/>
          </w:tcPr>
          <w:p w14:paraId="1E2A8006" w14:textId="77777777" w:rsidR="00BB09BE" w:rsidRPr="008D6F8A" w:rsidRDefault="00BB09BE" w:rsidP="004D2E41">
            <w:pPr>
              <w:spacing w:after="0" w:line="256" w:lineRule="auto"/>
              <w:rPr>
                <w:rFonts w:cs="Calibri"/>
                <w:color w:val="365F91"/>
              </w:rPr>
            </w:pPr>
          </w:p>
        </w:tc>
      </w:tr>
      <w:tr w:rsidR="00BB09BE" w:rsidRPr="008D6F8A" w14:paraId="7018C3EC" w14:textId="77777777" w:rsidTr="004D2E41">
        <w:tc>
          <w:tcPr>
            <w:tcW w:w="2605" w:type="dxa"/>
            <w:shd w:val="clear" w:color="auto" w:fill="auto"/>
          </w:tcPr>
          <w:p w14:paraId="04578BF3" w14:textId="77777777" w:rsidR="00BB09BE" w:rsidRPr="008D6F8A" w:rsidRDefault="00BB09BE"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2DA08B39" w14:textId="52F59144" w:rsidR="00BB09BE" w:rsidRPr="008D6F8A" w:rsidRDefault="00BB09BE" w:rsidP="004D2E41">
            <w:pPr>
              <w:spacing w:after="0" w:line="256" w:lineRule="auto"/>
              <w:rPr>
                <w:rFonts w:cs="Calibri"/>
                <w:color w:val="365F91"/>
              </w:rPr>
            </w:pPr>
          </w:p>
        </w:tc>
        <w:tc>
          <w:tcPr>
            <w:tcW w:w="2711" w:type="dxa"/>
            <w:gridSpan w:val="2"/>
            <w:shd w:val="clear" w:color="auto" w:fill="auto"/>
          </w:tcPr>
          <w:p w14:paraId="0309C80D" w14:textId="77777777" w:rsidR="00BB09BE" w:rsidRPr="008D6F8A" w:rsidRDefault="00BB09BE"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294C52FF" w14:textId="77777777" w:rsidR="00BB09BE" w:rsidRPr="008D6F8A" w:rsidRDefault="00BB09BE" w:rsidP="004D2E41">
            <w:pPr>
              <w:spacing w:after="0" w:line="256" w:lineRule="auto"/>
              <w:rPr>
                <w:rFonts w:cs="Calibri"/>
                <w:color w:val="365F91"/>
              </w:rPr>
            </w:pPr>
          </w:p>
        </w:tc>
      </w:tr>
      <w:tr w:rsidR="00BB09BE" w:rsidRPr="008D6F8A" w14:paraId="321C177A" w14:textId="77777777" w:rsidTr="004D2E41">
        <w:trPr>
          <w:trHeight w:val="242"/>
        </w:trPr>
        <w:tc>
          <w:tcPr>
            <w:tcW w:w="2605" w:type="dxa"/>
            <w:shd w:val="clear" w:color="auto" w:fill="auto"/>
          </w:tcPr>
          <w:p w14:paraId="012129ED" w14:textId="77777777" w:rsidR="00BB09BE" w:rsidRPr="008D6F8A" w:rsidRDefault="00BB09BE"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70521FDE" w14:textId="31D2C315" w:rsidR="00BB09BE" w:rsidRPr="008D6F8A" w:rsidRDefault="00BB09BE" w:rsidP="004D2E41">
            <w:pPr>
              <w:spacing w:after="0" w:line="256" w:lineRule="auto"/>
              <w:rPr>
                <w:rFonts w:cs="Calibri"/>
                <w:color w:val="365F91"/>
              </w:rPr>
            </w:pPr>
          </w:p>
        </w:tc>
        <w:tc>
          <w:tcPr>
            <w:tcW w:w="2711" w:type="dxa"/>
            <w:gridSpan w:val="2"/>
            <w:shd w:val="clear" w:color="auto" w:fill="auto"/>
          </w:tcPr>
          <w:p w14:paraId="199D7F63" w14:textId="77777777" w:rsidR="00BB09BE" w:rsidRPr="008D6F8A" w:rsidRDefault="00BB09BE"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4A2CC205" w14:textId="77777777" w:rsidR="00BB09BE" w:rsidRPr="008D6F8A" w:rsidRDefault="00BB09BE" w:rsidP="004D2E41">
            <w:pPr>
              <w:spacing w:after="0" w:line="256" w:lineRule="auto"/>
              <w:rPr>
                <w:rFonts w:cs="Calibri"/>
                <w:color w:val="365F91"/>
              </w:rPr>
            </w:pPr>
          </w:p>
        </w:tc>
      </w:tr>
      <w:tr w:rsidR="00BB09BE" w:rsidRPr="008D6F8A" w14:paraId="5058DBEA" w14:textId="77777777" w:rsidTr="004D2E41">
        <w:tc>
          <w:tcPr>
            <w:tcW w:w="2605" w:type="dxa"/>
            <w:shd w:val="clear" w:color="auto" w:fill="auto"/>
          </w:tcPr>
          <w:p w14:paraId="7ABD7F1B" w14:textId="77777777" w:rsidR="00BB09BE" w:rsidRPr="008D6F8A" w:rsidRDefault="00BB09BE"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52C21C34" w14:textId="7D92CD40" w:rsidR="00BB09BE" w:rsidRPr="008D6F8A" w:rsidRDefault="00BB09BE" w:rsidP="004D2E41">
            <w:pPr>
              <w:spacing w:after="0" w:line="256" w:lineRule="auto"/>
              <w:rPr>
                <w:rFonts w:cs="Calibri"/>
                <w:color w:val="365F91"/>
              </w:rPr>
            </w:pPr>
          </w:p>
        </w:tc>
        <w:tc>
          <w:tcPr>
            <w:tcW w:w="2711" w:type="dxa"/>
            <w:gridSpan w:val="2"/>
            <w:shd w:val="clear" w:color="auto" w:fill="auto"/>
          </w:tcPr>
          <w:p w14:paraId="7BC0D838" w14:textId="77777777" w:rsidR="00BB09BE" w:rsidRPr="008D6F8A" w:rsidRDefault="00BB09BE"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3033DAAD" w14:textId="77777777" w:rsidR="00BB09BE" w:rsidRPr="008D6F8A" w:rsidRDefault="00BB09BE" w:rsidP="004D2E41">
            <w:pPr>
              <w:spacing w:after="0" w:line="256" w:lineRule="auto"/>
              <w:rPr>
                <w:rFonts w:cs="Calibri"/>
                <w:color w:val="365F91"/>
              </w:rPr>
            </w:pPr>
          </w:p>
        </w:tc>
      </w:tr>
      <w:tr w:rsidR="00BB09BE" w:rsidRPr="008D6F8A" w14:paraId="22DD7DC3" w14:textId="77777777" w:rsidTr="004D2E41">
        <w:tc>
          <w:tcPr>
            <w:tcW w:w="2605" w:type="dxa"/>
            <w:shd w:val="clear" w:color="auto" w:fill="auto"/>
          </w:tcPr>
          <w:p w14:paraId="7BF97B44" w14:textId="77777777" w:rsidR="00BB09BE" w:rsidRPr="008D6F8A" w:rsidRDefault="00BB09BE"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2CFAE90C" w14:textId="03D8FB2D" w:rsidR="00BB09BE" w:rsidRPr="008D6F8A" w:rsidRDefault="00BB09BE" w:rsidP="004D2E41">
            <w:pPr>
              <w:spacing w:after="0" w:line="256" w:lineRule="auto"/>
              <w:rPr>
                <w:rFonts w:cs="Calibri"/>
                <w:color w:val="365F91"/>
              </w:rPr>
            </w:pPr>
          </w:p>
        </w:tc>
        <w:tc>
          <w:tcPr>
            <w:tcW w:w="2711" w:type="dxa"/>
            <w:gridSpan w:val="2"/>
            <w:shd w:val="clear" w:color="auto" w:fill="auto"/>
          </w:tcPr>
          <w:p w14:paraId="30CB4940" w14:textId="77777777" w:rsidR="00BB09BE" w:rsidRPr="008D6F8A" w:rsidRDefault="00BB09BE"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01C5F891" w14:textId="3628A89E" w:rsidR="00BB09BE" w:rsidRPr="008D6F8A" w:rsidRDefault="00BB09BE" w:rsidP="004D2E41">
            <w:pPr>
              <w:spacing w:after="0" w:line="256" w:lineRule="auto"/>
              <w:rPr>
                <w:rFonts w:cs="Calibri"/>
                <w:color w:val="365F91"/>
              </w:rPr>
            </w:pPr>
          </w:p>
        </w:tc>
      </w:tr>
    </w:tbl>
    <w:p w14:paraId="262E6654" w14:textId="77777777" w:rsidR="00BB09BE" w:rsidRDefault="00BB09BE" w:rsidP="001F2E44">
      <w:pPr>
        <w:shd w:val="clear" w:color="auto" w:fill="FFFFFF"/>
        <w:rPr>
          <w:color w:val="333333"/>
          <w:sz w:val="24"/>
          <w:szCs w:val="24"/>
        </w:rPr>
      </w:pPr>
    </w:p>
    <w:p w14:paraId="5D186FBE" w14:textId="77777777" w:rsidR="000B215E" w:rsidRDefault="000B215E" w:rsidP="000B215E">
      <w:pPr>
        <w:pStyle w:val="ListParagraph"/>
        <w:jc w:val="center"/>
        <w:rPr>
          <w:rFonts w:asciiTheme="minorHAnsi" w:hAnsiTheme="minorHAnsi"/>
          <w:color w:val="1F497D"/>
        </w:rPr>
      </w:pPr>
    </w:p>
    <w:p w14:paraId="0D83B3F4" w14:textId="77777777" w:rsidR="000B215E" w:rsidRDefault="000B215E" w:rsidP="000B215E">
      <w:pPr>
        <w:pStyle w:val="ListParagraph"/>
        <w:jc w:val="center"/>
        <w:rPr>
          <w:rFonts w:asciiTheme="minorHAnsi" w:hAnsiTheme="minorHAnsi"/>
          <w:color w:val="1F497D"/>
        </w:rPr>
      </w:pPr>
    </w:p>
    <w:p w14:paraId="109B48A6" w14:textId="77777777" w:rsidR="000B215E" w:rsidRDefault="000B215E" w:rsidP="000B215E">
      <w:pPr>
        <w:pStyle w:val="ListParagraph"/>
        <w:jc w:val="center"/>
        <w:rPr>
          <w:rFonts w:asciiTheme="minorHAnsi" w:hAnsiTheme="minorHAnsi"/>
          <w:color w:val="1F497D"/>
        </w:rPr>
      </w:pPr>
    </w:p>
    <w:p w14:paraId="303EB3D7" w14:textId="77777777" w:rsidR="000B215E" w:rsidRDefault="000B215E" w:rsidP="000B215E">
      <w:pPr>
        <w:pStyle w:val="ListParagraph"/>
        <w:jc w:val="center"/>
        <w:rPr>
          <w:rFonts w:asciiTheme="minorHAnsi" w:hAnsiTheme="minorHAnsi"/>
          <w:color w:val="1F497D"/>
        </w:rPr>
      </w:pPr>
    </w:p>
    <w:p w14:paraId="70860709" w14:textId="77777777" w:rsidR="000B215E" w:rsidRDefault="000B215E" w:rsidP="000B215E">
      <w:pPr>
        <w:pStyle w:val="ListParagraph"/>
        <w:jc w:val="center"/>
        <w:rPr>
          <w:rFonts w:asciiTheme="minorHAnsi" w:hAnsiTheme="minorHAnsi"/>
          <w:color w:val="1F497D"/>
        </w:rPr>
      </w:pPr>
    </w:p>
    <w:p w14:paraId="60C8CC7E" w14:textId="77777777" w:rsidR="000B215E" w:rsidRDefault="000B215E" w:rsidP="000B215E">
      <w:pPr>
        <w:pStyle w:val="ListParagraph"/>
        <w:jc w:val="center"/>
        <w:rPr>
          <w:rFonts w:asciiTheme="minorHAnsi" w:hAnsiTheme="minorHAnsi"/>
          <w:color w:val="1F497D"/>
        </w:rPr>
      </w:pPr>
    </w:p>
    <w:p w14:paraId="1259F117" w14:textId="77777777" w:rsidR="000B215E" w:rsidRDefault="000B215E" w:rsidP="000B215E">
      <w:pPr>
        <w:pStyle w:val="ListParagraph"/>
        <w:jc w:val="center"/>
        <w:rPr>
          <w:rFonts w:asciiTheme="minorHAnsi" w:hAnsiTheme="minorHAnsi"/>
          <w:color w:val="1F497D"/>
        </w:rPr>
      </w:pPr>
    </w:p>
    <w:p w14:paraId="1F82C7BD" w14:textId="77777777" w:rsidR="000B215E" w:rsidRDefault="000B215E" w:rsidP="000B215E">
      <w:pPr>
        <w:pStyle w:val="ListParagraph"/>
        <w:jc w:val="center"/>
        <w:rPr>
          <w:rFonts w:asciiTheme="minorHAnsi" w:hAnsiTheme="minorHAnsi"/>
          <w:color w:val="1F497D"/>
        </w:rPr>
      </w:pPr>
    </w:p>
    <w:p w14:paraId="773562F7" w14:textId="77777777" w:rsidR="000B215E" w:rsidRDefault="000B215E" w:rsidP="000B215E">
      <w:pPr>
        <w:pStyle w:val="ListParagraph"/>
        <w:jc w:val="center"/>
        <w:rPr>
          <w:rFonts w:asciiTheme="minorHAnsi" w:hAnsiTheme="minorHAnsi"/>
          <w:color w:val="1F497D"/>
        </w:rPr>
      </w:pPr>
    </w:p>
    <w:p w14:paraId="56229E9B" w14:textId="77777777" w:rsidR="000B215E" w:rsidRDefault="000B215E" w:rsidP="000B215E">
      <w:pPr>
        <w:pStyle w:val="ListParagraph"/>
        <w:jc w:val="center"/>
        <w:rPr>
          <w:rFonts w:asciiTheme="minorHAnsi" w:hAnsiTheme="minorHAnsi"/>
          <w:color w:val="1F497D"/>
        </w:rPr>
      </w:pPr>
    </w:p>
    <w:p w14:paraId="092B8A56" w14:textId="77777777" w:rsidR="000B215E" w:rsidRDefault="000B215E" w:rsidP="000B215E">
      <w:pPr>
        <w:pStyle w:val="ListParagraph"/>
        <w:jc w:val="center"/>
        <w:rPr>
          <w:rFonts w:asciiTheme="minorHAnsi" w:hAnsiTheme="minorHAnsi"/>
          <w:color w:val="1F497D"/>
        </w:rPr>
      </w:pPr>
    </w:p>
    <w:p w14:paraId="6666B98A" w14:textId="77777777" w:rsidR="000B215E" w:rsidRDefault="000B215E" w:rsidP="000B215E">
      <w:pPr>
        <w:pStyle w:val="ListParagraph"/>
        <w:jc w:val="center"/>
        <w:rPr>
          <w:rFonts w:asciiTheme="minorHAnsi" w:hAnsiTheme="minorHAnsi"/>
          <w:color w:val="1F497D"/>
        </w:rPr>
      </w:pPr>
    </w:p>
    <w:p w14:paraId="0DE8DB19" w14:textId="77777777" w:rsidR="000B215E" w:rsidRDefault="000B215E" w:rsidP="000B215E">
      <w:pPr>
        <w:pStyle w:val="ListParagraph"/>
        <w:jc w:val="center"/>
        <w:rPr>
          <w:rFonts w:asciiTheme="minorHAnsi" w:hAnsiTheme="minorHAnsi"/>
          <w:color w:val="1F497D"/>
        </w:rPr>
      </w:pPr>
    </w:p>
    <w:p w14:paraId="3929FA24" w14:textId="77777777" w:rsidR="000B215E" w:rsidRDefault="000B215E" w:rsidP="000B215E">
      <w:pPr>
        <w:pStyle w:val="ListParagraph"/>
        <w:jc w:val="center"/>
        <w:rPr>
          <w:rFonts w:asciiTheme="minorHAnsi" w:hAnsiTheme="minorHAnsi"/>
          <w:color w:val="1F497D"/>
        </w:rPr>
      </w:pPr>
    </w:p>
    <w:p w14:paraId="1A6E096D" w14:textId="77777777" w:rsidR="000B215E" w:rsidRDefault="000B215E" w:rsidP="000B215E">
      <w:pPr>
        <w:pStyle w:val="ListParagraph"/>
        <w:jc w:val="center"/>
        <w:rPr>
          <w:rFonts w:asciiTheme="minorHAnsi" w:hAnsiTheme="minorHAnsi"/>
          <w:color w:val="1F497D"/>
        </w:rPr>
      </w:pPr>
    </w:p>
    <w:p w14:paraId="0A6C65FB" w14:textId="77777777" w:rsidR="000B215E" w:rsidRDefault="000B215E" w:rsidP="000B215E">
      <w:pPr>
        <w:pStyle w:val="ListParagraph"/>
        <w:jc w:val="center"/>
        <w:rPr>
          <w:rFonts w:asciiTheme="minorHAnsi" w:hAnsiTheme="minorHAnsi"/>
          <w:color w:val="1F497D"/>
        </w:rPr>
      </w:pPr>
    </w:p>
    <w:p w14:paraId="7B90F751" w14:textId="77777777" w:rsidR="000B215E" w:rsidRDefault="000B215E" w:rsidP="000B215E">
      <w:pPr>
        <w:pStyle w:val="ListParagraph"/>
        <w:jc w:val="center"/>
        <w:rPr>
          <w:rFonts w:asciiTheme="minorHAnsi" w:hAnsiTheme="minorHAnsi"/>
          <w:color w:val="1F497D"/>
        </w:rPr>
      </w:pPr>
    </w:p>
    <w:p w14:paraId="036CD3EB" w14:textId="77777777" w:rsidR="000B215E" w:rsidRDefault="000B215E" w:rsidP="000B215E">
      <w:pPr>
        <w:pStyle w:val="ListParagraph"/>
        <w:jc w:val="center"/>
        <w:rPr>
          <w:rFonts w:asciiTheme="minorHAnsi" w:hAnsiTheme="minorHAnsi"/>
          <w:color w:val="1F497D"/>
        </w:rPr>
      </w:pPr>
    </w:p>
    <w:p w14:paraId="010A8AA8" w14:textId="77777777" w:rsidR="000B215E" w:rsidRDefault="000B215E" w:rsidP="000B215E">
      <w:pPr>
        <w:pStyle w:val="ListParagraph"/>
        <w:jc w:val="center"/>
        <w:rPr>
          <w:rFonts w:asciiTheme="minorHAnsi" w:hAnsiTheme="minorHAnsi"/>
          <w:color w:val="1F497D"/>
        </w:rPr>
      </w:pPr>
    </w:p>
    <w:p w14:paraId="0C760FEC" w14:textId="77777777" w:rsidR="000B215E" w:rsidRDefault="000B215E" w:rsidP="000B215E">
      <w:pPr>
        <w:pStyle w:val="ListParagraph"/>
        <w:jc w:val="center"/>
        <w:rPr>
          <w:rFonts w:asciiTheme="minorHAnsi" w:hAnsiTheme="minorHAnsi"/>
          <w:color w:val="1F497D"/>
        </w:rPr>
      </w:pPr>
    </w:p>
    <w:p w14:paraId="20940EAC" w14:textId="77777777" w:rsidR="000B215E" w:rsidRDefault="000B215E" w:rsidP="000B215E">
      <w:pPr>
        <w:pStyle w:val="ListParagraph"/>
        <w:jc w:val="center"/>
        <w:rPr>
          <w:rFonts w:asciiTheme="minorHAnsi" w:hAnsiTheme="minorHAnsi"/>
          <w:color w:val="1F497D"/>
        </w:rPr>
      </w:pPr>
    </w:p>
    <w:p w14:paraId="6B039AAC" w14:textId="77777777" w:rsidR="000B215E" w:rsidRPr="00310C50" w:rsidRDefault="000B215E" w:rsidP="000B215E">
      <w:pPr>
        <w:pStyle w:val="ListParagraph"/>
        <w:jc w:val="center"/>
        <w:rPr>
          <w:rFonts w:asciiTheme="minorHAnsi" w:hAnsiTheme="minorHAnsi"/>
          <w:color w:val="1F497D"/>
        </w:rPr>
      </w:pPr>
      <w:r>
        <w:rPr>
          <w:rFonts w:asciiTheme="minorHAnsi" w:hAnsiTheme="minorHAnsi"/>
          <w:color w:val="1F497D"/>
        </w:rPr>
        <w:t xml:space="preserve">AJCC Staging Case Scenario #3 </w:t>
      </w:r>
    </w:p>
    <w:p w14:paraId="0451AF8D" w14:textId="77777777" w:rsidR="000B215E" w:rsidRDefault="000B215E" w:rsidP="000B215E">
      <w:pPr>
        <w:pStyle w:val="ListParagraph"/>
        <w:shd w:val="clear" w:color="auto" w:fill="FFFFFF"/>
        <w:rPr>
          <w:rFonts w:asciiTheme="minorHAnsi" w:eastAsia="Times New Roman" w:hAnsiTheme="minorHAnsi" w:cs="Times New Roman"/>
        </w:rPr>
      </w:pPr>
    </w:p>
    <w:p w14:paraId="4CC85976" w14:textId="77777777" w:rsidR="000B215E" w:rsidRDefault="000B215E" w:rsidP="000B215E">
      <w:pPr>
        <w:pStyle w:val="ListParagraph"/>
        <w:shd w:val="clear" w:color="auto" w:fill="FFFFFF"/>
        <w:rPr>
          <w:rFonts w:asciiTheme="minorHAnsi" w:eastAsia="Times New Roman" w:hAnsiTheme="minorHAnsi" w:cs="Times New Roman"/>
        </w:rPr>
      </w:pPr>
    </w:p>
    <w:p w14:paraId="3D1CE846"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History</w:t>
      </w:r>
    </w:p>
    <w:p w14:paraId="19078832"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4/07/20</w:t>
      </w:r>
      <w:r>
        <w:rPr>
          <w:rFonts w:eastAsia="Times New Roman" w:cs="Times New Roman"/>
          <w:sz w:val="24"/>
          <w:szCs w:val="24"/>
        </w:rPr>
        <w:t>16</w:t>
      </w:r>
      <w:r w:rsidRPr="00D40624">
        <w:rPr>
          <w:rFonts w:eastAsia="Times New Roman" w:cs="Times New Roman"/>
          <w:sz w:val="24"/>
          <w:szCs w:val="24"/>
        </w:rPr>
        <w:t xml:space="preserve">  An 82-year-old woman presented in the Emergency Department with abdominal pain, diarrhea and fever, with 24 hours of evolution. At clinical examination, she presented pale, with fever (38.7˚C) and tachycardia, without hypotension. Her abdomen was soft, painful at the right hypochondrium and right flank palpation, without tenderness or guarding. </w:t>
      </w:r>
    </w:p>
    <w:p w14:paraId="51009392" w14:textId="77777777" w:rsidR="00D40624" w:rsidRPr="00D40624" w:rsidRDefault="00D40624" w:rsidP="00D40624">
      <w:pPr>
        <w:spacing w:after="0" w:line="240" w:lineRule="auto"/>
        <w:rPr>
          <w:rFonts w:eastAsia="Times New Roman" w:cs="Times New Roman"/>
          <w:sz w:val="24"/>
          <w:szCs w:val="24"/>
        </w:rPr>
      </w:pPr>
    </w:p>
    <w:p w14:paraId="1E2A24BA"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Lab results</w:t>
      </w:r>
    </w:p>
    <w:p w14:paraId="51CFC17F"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4/8/20</w:t>
      </w:r>
      <w:r>
        <w:rPr>
          <w:rFonts w:eastAsia="Times New Roman" w:cs="Times New Roman"/>
          <w:sz w:val="24"/>
          <w:szCs w:val="24"/>
        </w:rPr>
        <w:t>16</w:t>
      </w:r>
      <w:r w:rsidRPr="00D40624">
        <w:rPr>
          <w:rFonts w:eastAsia="Times New Roman" w:cs="Times New Roman"/>
          <w:sz w:val="24"/>
          <w:szCs w:val="24"/>
        </w:rPr>
        <w:t xml:space="preserve">   Anemia </w:t>
      </w:r>
    </w:p>
    <w:p w14:paraId="2A3EFB61" w14:textId="77777777" w:rsidR="00D40624" w:rsidRPr="00D40624" w:rsidRDefault="00D40624" w:rsidP="00D40624">
      <w:pPr>
        <w:numPr>
          <w:ilvl w:val="0"/>
          <w:numId w:val="4"/>
        </w:numPr>
        <w:spacing w:after="0" w:line="240" w:lineRule="auto"/>
        <w:rPr>
          <w:rFonts w:eastAsia="Times New Roman" w:cs="Times New Roman"/>
          <w:sz w:val="24"/>
          <w:szCs w:val="24"/>
        </w:rPr>
      </w:pPr>
      <w:r w:rsidRPr="00D40624">
        <w:rPr>
          <w:rFonts w:eastAsia="Times New Roman" w:cs="Times New Roman"/>
          <w:sz w:val="24"/>
          <w:szCs w:val="24"/>
        </w:rPr>
        <w:t>Hemoglobin of 6.8 g/dl</w:t>
      </w:r>
    </w:p>
    <w:p w14:paraId="4D3E94B3" w14:textId="77777777" w:rsidR="00D40624" w:rsidRPr="00D40624" w:rsidRDefault="00D40624" w:rsidP="00D40624">
      <w:pPr>
        <w:numPr>
          <w:ilvl w:val="0"/>
          <w:numId w:val="4"/>
        </w:numPr>
        <w:spacing w:after="0" w:line="240" w:lineRule="auto"/>
        <w:rPr>
          <w:rFonts w:eastAsia="Times New Roman" w:cs="Times New Roman"/>
          <w:sz w:val="24"/>
          <w:szCs w:val="24"/>
        </w:rPr>
      </w:pPr>
      <w:r w:rsidRPr="00D40624">
        <w:rPr>
          <w:rFonts w:eastAsia="Times New Roman" w:cs="Times New Roman"/>
          <w:sz w:val="24"/>
          <w:szCs w:val="24"/>
        </w:rPr>
        <w:t>Elevated C reactive protein (27.12 mg/dl), with no leukocytosis</w:t>
      </w:r>
    </w:p>
    <w:p w14:paraId="74DB7668" w14:textId="77777777" w:rsidR="00D40624" w:rsidRPr="00D40624" w:rsidRDefault="00D40624" w:rsidP="00D40624">
      <w:pPr>
        <w:spacing w:after="0" w:line="240" w:lineRule="auto"/>
        <w:ind w:left="720"/>
        <w:rPr>
          <w:rFonts w:eastAsia="Times New Roman" w:cs="Times New Roman"/>
          <w:sz w:val="24"/>
          <w:szCs w:val="24"/>
        </w:rPr>
      </w:pPr>
    </w:p>
    <w:p w14:paraId="225A7CC1"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Imaging</w:t>
      </w:r>
    </w:p>
    <w:p w14:paraId="0470AD17" w14:textId="5C733B6B"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4/9/20</w:t>
      </w:r>
      <w:r>
        <w:rPr>
          <w:rFonts w:eastAsia="Times New Roman" w:cs="Times New Roman"/>
          <w:sz w:val="24"/>
          <w:szCs w:val="24"/>
        </w:rPr>
        <w:t>16</w:t>
      </w:r>
      <w:r w:rsidRPr="00D40624">
        <w:rPr>
          <w:rFonts w:eastAsia="Times New Roman" w:cs="Times New Roman"/>
          <w:sz w:val="24"/>
          <w:szCs w:val="24"/>
        </w:rPr>
        <w:t xml:space="preserve">  Abdominopelvic CT Scan: Showed a thickening of the right colon wall causing a serious stenosis of the colon lumen, with moderate dilatation of the cecum. This lesion showed no signs of duodenum invasion nor other adjacent structures invasion. The tumor perforated</w:t>
      </w:r>
      <w:r w:rsidR="00F25ED0">
        <w:rPr>
          <w:rFonts w:eastAsia="Times New Roman" w:cs="Times New Roman"/>
          <w:sz w:val="24"/>
          <w:szCs w:val="24"/>
        </w:rPr>
        <w:t xml:space="preserve"> the colon wall</w:t>
      </w:r>
      <w:r w:rsidRPr="00D40624">
        <w:rPr>
          <w:rFonts w:eastAsia="Times New Roman" w:cs="Times New Roman"/>
          <w:sz w:val="24"/>
          <w:szCs w:val="24"/>
        </w:rPr>
        <w:t xml:space="preserve">, showing a small volume pneumoperitoneum in the scan. There were no liver metastasis, nor alterations in the spleen, pancreas, kidneys nor adrenal glands. There were no abdominopelvic enlarged lymph nodes </w:t>
      </w:r>
    </w:p>
    <w:p w14:paraId="71AD0EF0"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 xml:space="preserve"> </w:t>
      </w:r>
    </w:p>
    <w:p w14:paraId="17230740"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Treatment</w:t>
      </w:r>
    </w:p>
    <w:p w14:paraId="35D9D1AE"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4/10/20</w:t>
      </w:r>
      <w:r>
        <w:rPr>
          <w:rFonts w:eastAsia="Times New Roman" w:cs="Times New Roman"/>
          <w:sz w:val="24"/>
          <w:szCs w:val="24"/>
        </w:rPr>
        <w:t>16</w:t>
      </w:r>
      <w:r w:rsidRPr="00D40624">
        <w:rPr>
          <w:rFonts w:eastAsia="Times New Roman" w:cs="Times New Roman"/>
          <w:sz w:val="24"/>
          <w:szCs w:val="24"/>
        </w:rPr>
        <w:t xml:space="preserve">  The patient underwent urgent surgery. Surgery findings were a right colon tumor, adherent to the posterior abdominal wall, with a small amount of pus in right parietocolic gutter. There were no liver metastasis nor peritoneal carcinomatosis. A right hemicolectomy was performed, with a side-to-side mechanical ileocolic anastomosis. </w:t>
      </w:r>
    </w:p>
    <w:p w14:paraId="004DD93B" w14:textId="77777777" w:rsidR="00D40624" w:rsidRPr="00D40624" w:rsidRDefault="00D40624" w:rsidP="00D40624">
      <w:pPr>
        <w:spacing w:after="0" w:line="240" w:lineRule="auto"/>
        <w:rPr>
          <w:rFonts w:eastAsia="Times New Roman" w:cs="Times New Roman"/>
          <w:sz w:val="24"/>
          <w:szCs w:val="24"/>
        </w:rPr>
      </w:pPr>
    </w:p>
    <w:p w14:paraId="459357D1"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Histology</w:t>
      </w:r>
    </w:p>
    <w:p w14:paraId="409CCD49" w14:textId="69DD1380"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4/11/20</w:t>
      </w:r>
      <w:r>
        <w:rPr>
          <w:rFonts w:eastAsia="Times New Roman" w:cs="Times New Roman"/>
          <w:sz w:val="24"/>
          <w:szCs w:val="24"/>
        </w:rPr>
        <w:t>16</w:t>
      </w:r>
      <w:r w:rsidRPr="00D40624">
        <w:rPr>
          <w:rFonts w:eastAsia="Times New Roman" w:cs="Times New Roman"/>
          <w:sz w:val="24"/>
          <w:szCs w:val="24"/>
        </w:rPr>
        <w:t xml:space="preserve">  Histologic diagnosis of the surgical specimen was adenocarcinoma of the colon, with infiltration of the subserosa and perforat</w:t>
      </w:r>
      <w:r w:rsidR="00F25ED0">
        <w:rPr>
          <w:rFonts w:eastAsia="Times New Roman" w:cs="Times New Roman"/>
          <w:sz w:val="24"/>
          <w:szCs w:val="24"/>
        </w:rPr>
        <w:t xml:space="preserve">ion of the visceral peritoneum </w:t>
      </w:r>
      <w:r w:rsidR="00722811">
        <w:rPr>
          <w:rFonts w:eastAsia="Times New Roman" w:cs="Times New Roman"/>
          <w:sz w:val="24"/>
          <w:szCs w:val="24"/>
        </w:rPr>
        <w:t xml:space="preserve">with </w:t>
      </w:r>
      <w:r w:rsidR="00F25ED0">
        <w:rPr>
          <w:rFonts w:eastAsia="Times New Roman" w:cs="Times New Roman"/>
          <w:sz w:val="24"/>
          <w:szCs w:val="24"/>
        </w:rPr>
        <w:t>extension to the abdominal wall. M</w:t>
      </w:r>
      <w:r w:rsidRPr="00D40624">
        <w:rPr>
          <w:rFonts w:eastAsia="Times New Roman" w:cs="Times New Roman"/>
          <w:sz w:val="24"/>
          <w:szCs w:val="24"/>
        </w:rPr>
        <w:t xml:space="preserve">etastasis </w:t>
      </w:r>
      <w:r w:rsidR="00F25ED0">
        <w:rPr>
          <w:rFonts w:eastAsia="Times New Roman" w:cs="Times New Roman"/>
          <w:sz w:val="24"/>
          <w:szCs w:val="24"/>
        </w:rPr>
        <w:t xml:space="preserve">was present </w:t>
      </w:r>
      <w:r w:rsidRPr="00D40624">
        <w:rPr>
          <w:rFonts w:eastAsia="Times New Roman" w:cs="Times New Roman"/>
          <w:sz w:val="24"/>
          <w:szCs w:val="24"/>
        </w:rPr>
        <w:t>in 7 of the 17 pericolic lymph nodes isolated, with extra-nodal extension. The</w:t>
      </w:r>
      <w:r>
        <w:rPr>
          <w:rFonts w:eastAsia="Times New Roman" w:cs="Times New Roman"/>
          <w:sz w:val="24"/>
          <w:szCs w:val="24"/>
        </w:rPr>
        <w:t xml:space="preserve"> patient was not tested for KRAS</w:t>
      </w:r>
      <w:r w:rsidRPr="00D40624">
        <w:rPr>
          <w:rFonts w:eastAsia="Times New Roman" w:cs="Times New Roman"/>
          <w:sz w:val="24"/>
          <w:szCs w:val="24"/>
        </w:rPr>
        <w:t xml:space="preserve"> mutation. </w:t>
      </w:r>
    </w:p>
    <w:p w14:paraId="5A7C4202" w14:textId="77777777" w:rsidR="00D40624" w:rsidRPr="00D40624" w:rsidRDefault="00D40624" w:rsidP="00D40624">
      <w:pPr>
        <w:spacing w:after="0" w:line="240" w:lineRule="auto"/>
        <w:rPr>
          <w:rFonts w:eastAsia="Times New Roman" w:cs="Times New Roman"/>
          <w:sz w:val="24"/>
          <w:szCs w:val="24"/>
        </w:rPr>
      </w:pPr>
    </w:p>
    <w:p w14:paraId="6BFD346B"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Imaging</w:t>
      </w:r>
    </w:p>
    <w:p w14:paraId="6BD0EA13" w14:textId="77777777" w:rsidR="00D40624" w:rsidRPr="00D40624" w:rsidRDefault="00D40624" w:rsidP="00D40624">
      <w:pPr>
        <w:spacing w:after="0" w:line="240" w:lineRule="auto"/>
        <w:rPr>
          <w:rFonts w:eastAsia="Times New Roman" w:cs="Times New Roman"/>
          <w:sz w:val="24"/>
          <w:szCs w:val="24"/>
        </w:rPr>
      </w:pPr>
      <w:r>
        <w:rPr>
          <w:rFonts w:eastAsia="Times New Roman" w:cs="Times New Roman"/>
          <w:sz w:val="24"/>
          <w:szCs w:val="24"/>
        </w:rPr>
        <w:t>4/13/2016</w:t>
      </w:r>
      <w:r w:rsidRPr="00D40624">
        <w:rPr>
          <w:rFonts w:eastAsia="Times New Roman" w:cs="Times New Roman"/>
          <w:sz w:val="24"/>
          <w:szCs w:val="24"/>
        </w:rPr>
        <w:t xml:space="preserve"> CT scan of the thorax: Identified an enlarged lym</w:t>
      </w:r>
      <w:r>
        <w:rPr>
          <w:rFonts w:eastAsia="Times New Roman" w:cs="Times New Roman"/>
          <w:sz w:val="24"/>
          <w:szCs w:val="24"/>
        </w:rPr>
        <w:t>ph node in the left axilla measuring 1</w:t>
      </w:r>
      <w:r w:rsidRPr="00D40624">
        <w:rPr>
          <w:rFonts w:eastAsia="Times New Roman" w:cs="Times New Roman"/>
          <w:sz w:val="24"/>
          <w:szCs w:val="24"/>
        </w:rPr>
        <w:t xml:space="preserve">5 mm in diameter. There were no lung metastasis nor mediastinal enlarged lymph nodes. </w:t>
      </w:r>
    </w:p>
    <w:p w14:paraId="48B0C8D2" w14:textId="77777777" w:rsidR="00D40624" w:rsidRPr="00D40624" w:rsidRDefault="00D40624" w:rsidP="00D40624">
      <w:pPr>
        <w:spacing w:after="0" w:line="240" w:lineRule="auto"/>
        <w:rPr>
          <w:rFonts w:eastAsia="Times New Roman" w:cs="Times New Roman"/>
          <w:sz w:val="24"/>
          <w:szCs w:val="24"/>
        </w:rPr>
      </w:pPr>
    </w:p>
    <w:p w14:paraId="41150C1C"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Procedure</w:t>
      </w:r>
    </w:p>
    <w:p w14:paraId="5F7E769F"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4/17/201</w:t>
      </w:r>
      <w:r>
        <w:rPr>
          <w:rFonts w:eastAsia="Times New Roman" w:cs="Times New Roman"/>
          <w:sz w:val="24"/>
          <w:szCs w:val="24"/>
        </w:rPr>
        <w:t>6</w:t>
      </w:r>
      <w:r w:rsidRPr="00D40624">
        <w:rPr>
          <w:rFonts w:eastAsia="Times New Roman" w:cs="Times New Roman"/>
          <w:sz w:val="24"/>
          <w:szCs w:val="24"/>
        </w:rPr>
        <w:t xml:space="preserve"> Biopsy of the axillary lymph node: Histologic evaluation showed structures of adenocarcinoma involving lymphoid parenchyma, with expression of the marker CK 20, compatible with a colon cancer metastasis. </w:t>
      </w:r>
    </w:p>
    <w:p w14:paraId="1199938C" w14:textId="77777777" w:rsidR="00D40624" w:rsidRPr="00D40624" w:rsidRDefault="00D40624" w:rsidP="00D40624">
      <w:pPr>
        <w:spacing w:after="0" w:line="240" w:lineRule="auto"/>
        <w:rPr>
          <w:rFonts w:eastAsia="Times New Roman" w:cs="Times New Roman"/>
          <w:sz w:val="24"/>
          <w:szCs w:val="24"/>
        </w:rPr>
      </w:pPr>
    </w:p>
    <w:p w14:paraId="4BBE16E9"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lastRenderedPageBreak/>
        <w:t>4/28/201</w:t>
      </w:r>
      <w:r>
        <w:rPr>
          <w:rFonts w:eastAsia="Times New Roman" w:cs="Times New Roman"/>
          <w:sz w:val="24"/>
          <w:szCs w:val="24"/>
        </w:rPr>
        <w:t>6</w:t>
      </w:r>
      <w:r w:rsidRPr="00D40624">
        <w:rPr>
          <w:rFonts w:eastAsia="Times New Roman" w:cs="Times New Roman"/>
          <w:sz w:val="24"/>
          <w:szCs w:val="24"/>
        </w:rPr>
        <w:t xml:space="preserve">  The post-operative period was complicated with surgical site infection and an anastomotic leak with abscess formation, which was managed conservatively. </w:t>
      </w:r>
    </w:p>
    <w:p w14:paraId="5681B332" w14:textId="77777777" w:rsidR="00D40624" w:rsidRPr="00D40624" w:rsidRDefault="00D40624" w:rsidP="00D40624">
      <w:pPr>
        <w:spacing w:after="0" w:line="240" w:lineRule="auto"/>
        <w:rPr>
          <w:rFonts w:eastAsia="Times New Roman" w:cs="Times New Roman"/>
          <w:sz w:val="24"/>
          <w:szCs w:val="24"/>
        </w:rPr>
      </w:pPr>
    </w:p>
    <w:p w14:paraId="48C47B1A" w14:textId="77777777" w:rsidR="00D40624" w:rsidRPr="00D40624" w:rsidRDefault="00D40624" w:rsidP="00D40624">
      <w:pPr>
        <w:spacing w:after="0" w:line="240" w:lineRule="auto"/>
        <w:rPr>
          <w:rFonts w:eastAsia="Times New Roman" w:cs="Times New Roman"/>
          <w:b/>
          <w:sz w:val="24"/>
          <w:szCs w:val="24"/>
        </w:rPr>
      </w:pPr>
      <w:r w:rsidRPr="00D40624">
        <w:rPr>
          <w:rFonts w:eastAsia="Times New Roman" w:cs="Times New Roman"/>
          <w:b/>
          <w:sz w:val="24"/>
          <w:szCs w:val="24"/>
        </w:rPr>
        <w:t>Treatment and Follow up</w:t>
      </w:r>
    </w:p>
    <w:p w14:paraId="34B36A8A" w14:textId="77777777" w:rsidR="00D40624" w:rsidRPr="00D40624" w:rsidRDefault="00D40624" w:rsidP="00D40624">
      <w:pPr>
        <w:spacing w:after="0" w:line="240" w:lineRule="auto"/>
        <w:rPr>
          <w:rFonts w:eastAsia="Times New Roman" w:cs="Times New Roman"/>
          <w:sz w:val="24"/>
          <w:szCs w:val="24"/>
        </w:rPr>
      </w:pPr>
      <w:r>
        <w:rPr>
          <w:rFonts w:eastAsia="Times New Roman" w:cs="Times New Roman"/>
          <w:sz w:val="24"/>
          <w:szCs w:val="24"/>
        </w:rPr>
        <w:t>6/30/2016</w:t>
      </w:r>
      <w:r w:rsidRPr="00D40624">
        <w:rPr>
          <w:rFonts w:eastAsia="Times New Roman" w:cs="Times New Roman"/>
          <w:sz w:val="24"/>
          <w:szCs w:val="24"/>
        </w:rPr>
        <w:t xml:space="preserve">  Patient was further evaluated by a multidisciplinary team that decided for palliative chemotherapy. The patient was discharged at 58th postoperative day, with no complaints and with regular bowel movements. </w:t>
      </w:r>
    </w:p>
    <w:p w14:paraId="620AFEA8" w14:textId="77777777" w:rsidR="00D40624" w:rsidRPr="00D40624" w:rsidRDefault="00D40624" w:rsidP="00D40624">
      <w:pPr>
        <w:spacing w:after="0" w:line="240" w:lineRule="auto"/>
        <w:rPr>
          <w:rFonts w:eastAsia="Times New Roman" w:cs="Times New Roman"/>
          <w:sz w:val="24"/>
          <w:szCs w:val="24"/>
        </w:rPr>
      </w:pPr>
    </w:p>
    <w:p w14:paraId="5AD85AA8" w14:textId="77777777" w:rsidR="00D40624" w:rsidRPr="00D40624" w:rsidRDefault="00D40624" w:rsidP="00D40624">
      <w:pPr>
        <w:spacing w:after="0" w:line="240" w:lineRule="auto"/>
        <w:rPr>
          <w:rFonts w:eastAsia="Times New Roman" w:cs="Times New Roman"/>
          <w:sz w:val="24"/>
          <w:szCs w:val="24"/>
        </w:rPr>
      </w:pPr>
      <w:r w:rsidRPr="00D40624">
        <w:rPr>
          <w:rFonts w:eastAsia="Times New Roman" w:cs="Times New Roman"/>
          <w:sz w:val="24"/>
          <w:szCs w:val="24"/>
        </w:rPr>
        <w:t>8/05</w:t>
      </w:r>
      <w:r>
        <w:rPr>
          <w:rFonts w:eastAsia="Times New Roman" w:cs="Times New Roman"/>
          <w:sz w:val="24"/>
          <w:szCs w:val="24"/>
        </w:rPr>
        <w:t>/2016</w:t>
      </w:r>
      <w:r w:rsidRPr="00D40624">
        <w:rPr>
          <w:rFonts w:eastAsia="Times New Roman" w:cs="Times New Roman"/>
          <w:sz w:val="24"/>
          <w:szCs w:val="24"/>
        </w:rPr>
        <w:t xml:space="preserve">   Patient died at the 3rd postoperative month of disease progression.</w:t>
      </w:r>
    </w:p>
    <w:p w14:paraId="391AC0E3" w14:textId="77777777" w:rsidR="000B215E" w:rsidRDefault="000B215E" w:rsidP="000B215E">
      <w:pPr>
        <w:pStyle w:val="ListParagraph"/>
        <w:shd w:val="clear" w:color="auto" w:fill="FFFFFF"/>
        <w:rPr>
          <w:rFonts w:asciiTheme="minorHAnsi" w:eastAsia="Times New Roman" w:hAnsiTheme="minorHAnsi" w:cs="Times New Roman"/>
        </w:rPr>
      </w:pPr>
    </w:p>
    <w:p w14:paraId="5266A6D8" w14:textId="77777777" w:rsidR="000B215E" w:rsidRDefault="000B215E" w:rsidP="000B215E">
      <w:pPr>
        <w:pStyle w:val="ListParagraph"/>
        <w:shd w:val="clear" w:color="auto" w:fill="FFFFFF"/>
        <w:rPr>
          <w:rFonts w:asciiTheme="minorHAnsi" w:eastAsia="Times New Roman" w:hAnsiTheme="minorHAnsi" w:cs="Times New Roman"/>
        </w:rPr>
      </w:pPr>
    </w:p>
    <w:p w14:paraId="471B9944" w14:textId="77777777" w:rsidR="000B215E" w:rsidRPr="00213AF3" w:rsidRDefault="000B215E" w:rsidP="000B215E">
      <w:pPr>
        <w:shd w:val="clear" w:color="auto" w:fill="FFFFFF"/>
        <w:rPr>
          <w:rFonts w:eastAsia="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0B215E" w:rsidRPr="008D6F8A" w14:paraId="35F2FEF6" w14:textId="77777777" w:rsidTr="004D2E41">
        <w:tc>
          <w:tcPr>
            <w:tcW w:w="4657" w:type="dxa"/>
            <w:gridSpan w:val="3"/>
            <w:shd w:val="clear" w:color="auto" w:fill="auto"/>
          </w:tcPr>
          <w:p w14:paraId="08D395A8" w14:textId="77777777" w:rsidR="000B215E" w:rsidRDefault="000B215E" w:rsidP="000B215E">
            <w:pPr>
              <w:numPr>
                <w:ilvl w:val="0"/>
                <w:numId w:val="3"/>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3820FA3D" w14:textId="437E9E2C" w:rsidR="000B215E" w:rsidRPr="008D6F8A" w:rsidRDefault="000B215E" w:rsidP="004D2E41">
            <w:pPr>
              <w:spacing w:after="0" w:line="240" w:lineRule="auto"/>
              <w:ind w:left="720"/>
              <w:contextualSpacing/>
              <w:rPr>
                <w:rFonts w:cs="Calibri"/>
                <w:b/>
                <w:bCs/>
                <w:color w:val="365F91"/>
              </w:rPr>
            </w:pPr>
          </w:p>
          <w:p w14:paraId="642CD671" w14:textId="77777777" w:rsidR="000B215E"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272B968D" w14:textId="50D982E0" w:rsidR="00273017" w:rsidRDefault="00273017" w:rsidP="00B3233E">
            <w:pPr>
              <w:spacing w:after="0" w:line="240" w:lineRule="auto"/>
              <w:ind w:left="720"/>
              <w:contextualSpacing/>
              <w:rPr>
                <w:rFonts w:cs="Calibri"/>
                <w:b/>
                <w:bCs/>
                <w:color w:val="365F91"/>
              </w:rPr>
            </w:pPr>
          </w:p>
          <w:p w14:paraId="4E3B6F78" w14:textId="77777777" w:rsidR="000B215E" w:rsidRPr="008D6F8A" w:rsidRDefault="000B215E" w:rsidP="004D2E41">
            <w:pPr>
              <w:spacing w:after="0" w:line="240" w:lineRule="auto"/>
              <w:contextualSpacing/>
              <w:rPr>
                <w:rFonts w:cs="Calibri"/>
                <w:b/>
                <w:bCs/>
                <w:color w:val="365F91"/>
              </w:rPr>
            </w:pPr>
          </w:p>
        </w:tc>
        <w:tc>
          <w:tcPr>
            <w:tcW w:w="4788" w:type="dxa"/>
            <w:gridSpan w:val="2"/>
            <w:shd w:val="clear" w:color="auto" w:fill="auto"/>
          </w:tcPr>
          <w:p w14:paraId="59303D09" w14:textId="77777777" w:rsidR="000B215E" w:rsidRPr="008D6F8A"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2AA2786F" w14:textId="6B86CCCE" w:rsidR="000B215E" w:rsidRPr="008D6F8A" w:rsidRDefault="000B215E" w:rsidP="004D2E41">
            <w:pPr>
              <w:spacing w:after="0" w:line="240" w:lineRule="auto"/>
              <w:ind w:left="720"/>
              <w:contextualSpacing/>
              <w:rPr>
                <w:rFonts w:cs="Calibri"/>
                <w:b/>
                <w:bCs/>
                <w:color w:val="365F91"/>
              </w:rPr>
            </w:pPr>
          </w:p>
        </w:tc>
      </w:tr>
      <w:tr w:rsidR="000B215E" w:rsidRPr="008D6F8A" w14:paraId="1D1154CC" w14:textId="77777777" w:rsidTr="004D2E41">
        <w:tc>
          <w:tcPr>
            <w:tcW w:w="9445" w:type="dxa"/>
            <w:gridSpan w:val="5"/>
            <w:shd w:val="clear" w:color="auto" w:fill="auto"/>
          </w:tcPr>
          <w:p w14:paraId="462BE587" w14:textId="77777777" w:rsidR="000B215E" w:rsidRPr="008D6F8A" w:rsidRDefault="000B215E"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0B215E" w:rsidRPr="008D6F8A" w14:paraId="1EC5A19E" w14:textId="77777777" w:rsidTr="004D2E41">
        <w:tc>
          <w:tcPr>
            <w:tcW w:w="2605" w:type="dxa"/>
            <w:shd w:val="clear" w:color="auto" w:fill="auto"/>
          </w:tcPr>
          <w:p w14:paraId="3CEEC70A" w14:textId="77777777" w:rsidR="000B215E" w:rsidRPr="008D6F8A" w:rsidRDefault="000B215E" w:rsidP="004D2E41">
            <w:pPr>
              <w:spacing w:after="0" w:line="256" w:lineRule="auto"/>
              <w:rPr>
                <w:rFonts w:cs="Calibri"/>
                <w:color w:val="365F91"/>
              </w:rPr>
            </w:pPr>
            <w:r>
              <w:rPr>
                <w:rFonts w:cs="Calibri"/>
                <w:color w:val="365F91"/>
              </w:rPr>
              <w:t>Summary Stage</w:t>
            </w:r>
          </w:p>
        </w:tc>
        <w:tc>
          <w:tcPr>
            <w:tcW w:w="1879" w:type="dxa"/>
            <w:shd w:val="clear" w:color="auto" w:fill="D3DFEE"/>
          </w:tcPr>
          <w:p w14:paraId="2F569590" w14:textId="05F7E347" w:rsidR="000B215E" w:rsidRPr="008D6F8A" w:rsidRDefault="000B215E" w:rsidP="004D2E41">
            <w:pPr>
              <w:spacing w:after="0" w:line="256" w:lineRule="auto"/>
              <w:rPr>
                <w:rFonts w:cs="Calibri"/>
                <w:color w:val="365F91"/>
              </w:rPr>
            </w:pPr>
          </w:p>
        </w:tc>
        <w:tc>
          <w:tcPr>
            <w:tcW w:w="2711" w:type="dxa"/>
            <w:gridSpan w:val="2"/>
            <w:shd w:val="clear" w:color="auto" w:fill="auto"/>
          </w:tcPr>
          <w:p w14:paraId="27B4815E" w14:textId="77777777" w:rsidR="000B215E" w:rsidRPr="008D6F8A" w:rsidRDefault="000B215E" w:rsidP="004D2E41">
            <w:pPr>
              <w:spacing w:after="0" w:line="256" w:lineRule="auto"/>
              <w:rPr>
                <w:rFonts w:cs="Calibri"/>
                <w:color w:val="365F91"/>
              </w:rPr>
            </w:pPr>
          </w:p>
        </w:tc>
        <w:tc>
          <w:tcPr>
            <w:tcW w:w="2250" w:type="dxa"/>
            <w:shd w:val="clear" w:color="auto" w:fill="D3DFEE"/>
          </w:tcPr>
          <w:p w14:paraId="52D3B4A3" w14:textId="77777777" w:rsidR="000B215E" w:rsidRPr="008D6F8A" w:rsidRDefault="000B215E" w:rsidP="004D2E41">
            <w:pPr>
              <w:spacing w:after="0" w:line="256" w:lineRule="auto"/>
              <w:rPr>
                <w:rFonts w:cs="Calibri"/>
                <w:color w:val="365F91"/>
              </w:rPr>
            </w:pPr>
          </w:p>
        </w:tc>
      </w:tr>
      <w:tr w:rsidR="000B215E" w:rsidRPr="008D6F8A" w14:paraId="3328AAC1" w14:textId="77777777" w:rsidTr="004D2E41">
        <w:tc>
          <w:tcPr>
            <w:tcW w:w="2605" w:type="dxa"/>
            <w:shd w:val="clear" w:color="auto" w:fill="auto"/>
          </w:tcPr>
          <w:p w14:paraId="1ED5DA0E" w14:textId="77777777" w:rsidR="000B215E" w:rsidRPr="008D6F8A" w:rsidRDefault="000B215E"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0D1B12A5" w14:textId="124541BE" w:rsidR="000B215E" w:rsidRPr="008D6F8A" w:rsidRDefault="000B215E" w:rsidP="004D2E41">
            <w:pPr>
              <w:spacing w:after="0" w:line="256" w:lineRule="auto"/>
              <w:rPr>
                <w:rFonts w:cs="Calibri"/>
                <w:color w:val="365F91"/>
              </w:rPr>
            </w:pPr>
          </w:p>
        </w:tc>
        <w:tc>
          <w:tcPr>
            <w:tcW w:w="2711" w:type="dxa"/>
            <w:gridSpan w:val="2"/>
            <w:shd w:val="clear" w:color="auto" w:fill="auto"/>
          </w:tcPr>
          <w:p w14:paraId="62A70953" w14:textId="77777777" w:rsidR="000B215E" w:rsidRPr="008D6F8A" w:rsidRDefault="000B215E"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3D1D96A2" w14:textId="09D3B723" w:rsidR="000B215E" w:rsidRPr="008D6F8A" w:rsidRDefault="000B215E" w:rsidP="004D2E41">
            <w:pPr>
              <w:spacing w:after="0" w:line="256" w:lineRule="auto"/>
              <w:rPr>
                <w:rFonts w:cs="Calibri"/>
                <w:color w:val="365F91"/>
              </w:rPr>
            </w:pPr>
          </w:p>
        </w:tc>
      </w:tr>
      <w:tr w:rsidR="000B215E" w:rsidRPr="008D6F8A" w14:paraId="641EEECE" w14:textId="77777777" w:rsidTr="004D2E41">
        <w:trPr>
          <w:trHeight w:val="242"/>
        </w:trPr>
        <w:tc>
          <w:tcPr>
            <w:tcW w:w="2605" w:type="dxa"/>
            <w:shd w:val="clear" w:color="auto" w:fill="auto"/>
          </w:tcPr>
          <w:p w14:paraId="3A2B8927" w14:textId="77777777" w:rsidR="000B215E" w:rsidRPr="008D6F8A" w:rsidRDefault="000B215E"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33396B3F" w14:textId="11D6D8B0" w:rsidR="000B215E" w:rsidRPr="008D6F8A" w:rsidRDefault="000B215E" w:rsidP="004D2E41">
            <w:pPr>
              <w:spacing w:after="0" w:line="256" w:lineRule="auto"/>
              <w:rPr>
                <w:rFonts w:cs="Calibri"/>
                <w:color w:val="365F91"/>
              </w:rPr>
            </w:pPr>
          </w:p>
        </w:tc>
        <w:tc>
          <w:tcPr>
            <w:tcW w:w="2711" w:type="dxa"/>
            <w:gridSpan w:val="2"/>
            <w:shd w:val="clear" w:color="auto" w:fill="auto"/>
          </w:tcPr>
          <w:p w14:paraId="3CD40DB4" w14:textId="77777777" w:rsidR="000B215E" w:rsidRPr="008D6F8A" w:rsidRDefault="000B215E"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2E1E869D" w14:textId="1A256853" w:rsidR="000B215E" w:rsidRPr="008D6F8A" w:rsidRDefault="000B215E" w:rsidP="004D2E41">
            <w:pPr>
              <w:spacing w:after="0" w:line="256" w:lineRule="auto"/>
              <w:rPr>
                <w:rFonts w:cs="Calibri"/>
                <w:color w:val="365F91"/>
              </w:rPr>
            </w:pPr>
          </w:p>
        </w:tc>
      </w:tr>
      <w:tr w:rsidR="000B215E" w:rsidRPr="008D6F8A" w14:paraId="4E515E6C" w14:textId="77777777" w:rsidTr="004D2E41">
        <w:tc>
          <w:tcPr>
            <w:tcW w:w="2605" w:type="dxa"/>
            <w:shd w:val="clear" w:color="auto" w:fill="auto"/>
          </w:tcPr>
          <w:p w14:paraId="11BC3067" w14:textId="77777777" w:rsidR="000B215E" w:rsidRPr="008D6F8A" w:rsidRDefault="000B215E"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7B99918B" w14:textId="7A438CC2" w:rsidR="000B215E" w:rsidRPr="008D6F8A" w:rsidRDefault="000B215E" w:rsidP="004D2E41">
            <w:pPr>
              <w:spacing w:after="0" w:line="256" w:lineRule="auto"/>
              <w:rPr>
                <w:rFonts w:cs="Calibri"/>
                <w:color w:val="365F91"/>
              </w:rPr>
            </w:pPr>
          </w:p>
        </w:tc>
        <w:tc>
          <w:tcPr>
            <w:tcW w:w="2711" w:type="dxa"/>
            <w:gridSpan w:val="2"/>
            <w:shd w:val="clear" w:color="auto" w:fill="auto"/>
          </w:tcPr>
          <w:p w14:paraId="4D716F31" w14:textId="77777777" w:rsidR="000B215E" w:rsidRPr="008D6F8A" w:rsidRDefault="000B215E"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13C381A5" w14:textId="281FEAE1" w:rsidR="000B215E" w:rsidRPr="008D6F8A" w:rsidRDefault="000B215E" w:rsidP="004D2E41">
            <w:pPr>
              <w:spacing w:after="0" w:line="256" w:lineRule="auto"/>
              <w:rPr>
                <w:rFonts w:cs="Calibri"/>
                <w:color w:val="365F91"/>
              </w:rPr>
            </w:pPr>
          </w:p>
        </w:tc>
      </w:tr>
      <w:tr w:rsidR="000B215E" w:rsidRPr="008D6F8A" w14:paraId="53A915F4" w14:textId="77777777" w:rsidTr="004D2E41">
        <w:tc>
          <w:tcPr>
            <w:tcW w:w="2605" w:type="dxa"/>
            <w:shd w:val="clear" w:color="auto" w:fill="auto"/>
          </w:tcPr>
          <w:p w14:paraId="22A03A04" w14:textId="77777777" w:rsidR="000B215E" w:rsidRPr="008D6F8A" w:rsidRDefault="000B215E"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77DE6AB1" w14:textId="0C7BF0DB" w:rsidR="000B215E" w:rsidRPr="008D6F8A" w:rsidRDefault="000B215E" w:rsidP="004D2E41">
            <w:pPr>
              <w:spacing w:after="0" w:line="256" w:lineRule="auto"/>
              <w:rPr>
                <w:rFonts w:cs="Calibri"/>
                <w:color w:val="365F91"/>
              </w:rPr>
            </w:pPr>
          </w:p>
        </w:tc>
        <w:tc>
          <w:tcPr>
            <w:tcW w:w="2711" w:type="dxa"/>
            <w:gridSpan w:val="2"/>
            <w:shd w:val="clear" w:color="auto" w:fill="auto"/>
          </w:tcPr>
          <w:p w14:paraId="2AAFEDD5" w14:textId="77777777" w:rsidR="000B215E" w:rsidRPr="008D6F8A" w:rsidRDefault="000B215E"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3A43BCA7" w14:textId="6B829273" w:rsidR="000B215E" w:rsidRPr="008D6F8A" w:rsidRDefault="000B215E" w:rsidP="004D2E41">
            <w:pPr>
              <w:spacing w:after="0" w:line="256" w:lineRule="auto"/>
              <w:rPr>
                <w:rFonts w:cs="Calibri"/>
                <w:color w:val="365F91"/>
              </w:rPr>
            </w:pPr>
          </w:p>
        </w:tc>
      </w:tr>
    </w:tbl>
    <w:p w14:paraId="18BC0FD4" w14:textId="77777777" w:rsidR="000B215E" w:rsidRDefault="000B215E" w:rsidP="000B215E">
      <w:pPr>
        <w:shd w:val="clear" w:color="auto" w:fill="FFFFFF"/>
        <w:rPr>
          <w:rFonts w:eastAsia="Times New Roman" w:cs="Times New Roman"/>
        </w:rPr>
      </w:pPr>
    </w:p>
    <w:p w14:paraId="01B7F7DC" w14:textId="77777777" w:rsidR="000B215E" w:rsidRDefault="000B215E" w:rsidP="000B215E">
      <w:pPr>
        <w:shd w:val="clear" w:color="auto" w:fill="FFFFFF"/>
        <w:rPr>
          <w:rFonts w:eastAsia="Times New Roman" w:cs="Times New Roman"/>
        </w:rPr>
      </w:pPr>
    </w:p>
    <w:p w14:paraId="09AC5D1C" w14:textId="77777777" w:rsidR="000B215E" w:rsidRDefault="000B215E" w:rsidP="000B215E">
      <w:pPr>
        <w:shd w:val="clear" w:color="auto" w:fill="FFFFFF"/>
        <w:rPr>
          <w:rFonts w:eastAsia="Times New Roman" w:cs="Times New Roman"/>
        </w:rPr>
      </w:pPr>
    </w:p>
    <w:p w14:paraId="347CB8C4" w14:textId="77777777" w:rsidR="000B215E" w:rsidRDefault="000B215E" w:rsidP="000B215E">
      <w:pPr>
        <w:shd w:val="clear" w:color="auto" w:fill="FFFFFF"/>
        <w:rPr>
          <w:rFonts w:eastAsia="Times New Roman" w:cs="Times New Roman"/>
        </w:rPr>
      </w:pPr>
    </w:p>
    <w:p w14:paraId="2FC90D83" w14:textId="77777777" w:rsidR="000B215E" w:rsidRDefault="000B215E" w:rsidP="000B215E">
      <w:pPr>
        <w:shd w:val="clear" w:color="auto" w:fill="FFFFFF"/>
        <w:spacing w:after="0" w:line="240" w:lineRule="auto"/>
        <w:jc w:val="center"/>
        <w:rPr>
          <w:color w:val="1F497D"/>
          <w:sz w:val="24"/>
        </w:rPr>
      </w:pPr>
    </w:p>
    <w:p w14:paraId="4F182EC5" w14:textId="77777777" w:rsidR="000B215E" w:rsidRDefault="000B215E" w:rsidP="000B215E">
      <w:pPr>
        <w:shd w:val="clear" w:color="auto" w:fill="FFFFFF"/>
        <w:spacing w:after="0" w:line="240" w:lineRule="auto"/>
        <w:jc w:val="center"/>
        <w:rPr>
          <w:color w:val="1F497D"/>
          <w:sz w:val="24"/>
        </w:rPr>
      </w:pPr>
    </w:p>
    <w:p w14:paraId="6DC72B65" w14:textId="77777777" w:rsidR="000B215E" w:rsidRDefault="000B215E" w:rsidP="000B215E">
      <w:pPr>
        <w:shd w:val="clear" w:color="auto" w:fill="FFFFFF"/>
        <w:spacing w:after="0" w:line="240" w:lineRule="auto"/>
        <w:jc w:val="center"/>
        <w:rPr>
          <w:color w:val="1F497D"/>
          <w:sz w:val="24"/>
        </w:rPr>
      </w:pPr>
    </w:p>
    <w:p w14:paraId="0CD8B289" w14:textId="77777777" w:rsidR="000B215E" w:rsidRDefault="000B215E" w:rsidP="000B215E">
      <w:pPr>
        <w:shd w:val="clear" w:color="auto" w:fill="FFFFFF"/>
        <w:spacing w:after="0" w:line="240" w:lineRule="auto"/>
        <w:jc w:val="center"/>
        <w:rPr>
          <w:color w:val="1F497D"/>
          <w:sz w:val="24"/>
        </w:rPr>
      </w:pPr>
    </w:p>
    <w:p w14:paraId="7045FA86" w14:textId="77777777" w:rsidR="000B215E" w:rsidRDefault="000B215E" w:rsidP="000B215E">
      <w:pPr>
        <w:shd w:val="clear" w:color="auto" w:fill="FFFFFF"/>
        <w:spacing w:after="0" w:line="240" w:lineRule="auto"/>
        <w:jc w:val="center"/>
        <w:rPr>
          <w:color w:val="1F497D"/>
          <w:sz w:val="24"/>
        </w:rPr>
      </w:pPr>
    </w:p>
    <w:p w14:paraId="47A8CED4" w14:textId="77777777" w:rsidR="000B215E" w:rsidRDefault="000B215E" w:rsidP="000B215E">
      <w:pPr>
        <w:shd w:val="clear" w:color="auto" w:fill="FFFFFF"/>
        <w:spacing w:after="0" w:line="240" w:lineRule="auto"/>
        <w:jc w:val="center"/>
        <w:rPr>
          <w:color w:val="1F497D"/>
          <w:sz w:val="24"/>
        </w:rPr>
      </w:pPr>
    </w:p>
    <w:p w14:paraId="32138770" w14:textId="77777777" w:rsidR="000B215E" w:rsidRDefault="000B215E" w:rsidP="000B215E">
      <w:pPr>
        <w:shd w:val="clear" w:color="auto" w:fill="FFFFFF"/>
        <w:spacing w:after="0" w:line="240" w:lineRule="auto"/>
        <w:jc w:val="center"/>
        <w:rPr>
          <w:color w:val="1F497D"/>
          <w:sz w:val="24"/>
        </w:rPr>
      </w:pPr>
    </w:p>
    <w:p w14:paraId="323FA729" w14:textId="77777777" w:rsidR="000B215E" w:rsidRDefault="000B215E" w:rsidP="000B215E">
      <w:pPr>
        <w:shd w:val="clear" w:color="auto" w:fill="FFFFFF"/>
        <w:spacing w:after="0" w:line="240" w:lineRule="auto"/>
        <w:jc w:val="center"/>
        <w:rPr>
          <w:color w:val="1F497D"/>
          <w:sz w:val="24"/>
        </w:rPr>
      </w:pPr>
    </w:p>
    <w:p w14:paraId="4EFC90B5" w14:textId="18CE9F4F" w:rsidR="00236BF8" w:rsidRDefault="00236BF8">
      <w:pPr>
        <w:rPr>
          <w:color w:val="1F497D"/>
          <w:sz w:val="24"/>
        </w:rPr>
      </w:pPr>
      <w:r>
        <w:rPr>
          <w:color w:val="1F497D"/>
          <w:sz w:val="24"/>
        </w:rPr>
        <w:br w:type="page"/>
      </w:r>
    </w:p>
    <w:p w14:paraId="49C25F15" w14:textId="77777777" w:rsidR="000B215E" w:rsidRDefault="000B215E" w:rsidP="000B215E">
      <w:pPr>
        <w:shd w:val="clear" w:color="auto" w:fill="FFFFFF"/>
        <w:spacing w:after="0" w:line="240" w:lineRule="auto"/>
        <w:jc w:val="center"/>
        <w:rPr>
          <w:color w:val="1F497D"/>
          <w:sz w:val="24"/>
        </w:rPr>
      </w:pPr>
    </w:p>
    <w:p w14:paraId="2E47DD4D" w14:textId="6141FE53" w:rsidR="00CE1910" w:rsidRDefault="00CE1910">
      <w:pPr>
        <w:rPr>
          <w:color w:val="1F497D"/>
          <w:sz w:val="24"/>
        </w:rPr>
      </w:pPr>
    </w:p>
    <w:p w14:paraId="1601A805" w14:textId="77777777" w:rsidR="000B215E" w:rsidRPr="00F0195A" w:rsidRDefault="000B215E" w:rsidP="000B215E">
      <w:pPr>
        <w:shd w:val="clear" w:color="auto" w:fill="FFFFFF"/>
        <w:spacing w:after="0" w:line="240" w:lineRule="auto"/>
        <w:jc w:val="center"/>
        <w:rPr>
          <w:color w:val="1F497D"/>
          <w:sz w:val="24"/>
        </w:rPr>
      </w:pPr>
      <w:r w:rsidRPr="00F0195A">
        <w:rPr>
          <w:color w:val="1F497D"/>
          <w:sz w:val="24"/>
        </w:rPr>
        <w:t>AJCC Staging Case Scenario #4</w:t>
      </w:r>
    </w:p>
    <w:p w14:paraId="58978183" w14:textId="77777777" w:rsidR="000B215E" w:rsidRPr="00C971A9" w:rsidRDefault="000B215E" w:rsidP="000B215E">
      <w:pPr>
        <w:shd w:val="clear" w:color="auto" w:fill="FFFFFF"/>
        <w:spacing w:after="0" w:line="240" w:lineRule="auto"/>
        <w:jc w:val="center"/>
        <w:rPr>
          <w:rFonts w:eastAsia="Times New Roman" w:cs="Times New Roman"/>
          <w:color w:val="000000"/>
          <w:sz w:val="24"/>
          <w:szCs w:val="24"/>
        </w:rPr>
      </w:pPr>
    </w:p>
    <w:p w14:paraId="4750532F"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Pr>
          <w:rFonts w:eastAsia="Times New Roman" w:cs="Times New Roman"/>
          <w:b/>
          <w:color w:val="000000"/>
          <w:sz w:val="24"/>
          <w:szCs w:val="24"/>
        </w:rPr>
        <w:t>Background</w:t>
      </w:r>
    </w:p>
    <w:p w14:paraId="6F940EAF"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r w:rsidRPr="00C971A9">
        <w:rPr>
          <w:rFonts w:eastAsia="Times New Roman" w:cs="Times New Roman"/>
          <w:color w:val="000000"/>
          <w:sz w:val="24"/>
          <w:szCs w:val="24"/>
        </w:rPr>
        <w:t>4/7/1</w:t>
      </w:r>
      <w:r>
        <w:rPr>
          <w:rFonts w:eastAsia="Times New Roman" w:cs="Times New Roman"/>
          <w:color w:val="000000"/>
          <w:sz w:val="24"/>
          <w:szCs w:val="24"/>
        </w:rPr>
        <w:t>6</w:t>
      </w:r>
      <w:r w:rsidRPr="00C971A9">
        <w:rPr>
          <w:rFonts w:eastAsia="Times New Roman" w:cs="Times New Roman"/>
          <w:color w:val="000000"/>
          <w:sz w:val="24"/>
          <w:szCs w:val="24"/>
        </w:rPr>
        <w:t xml:space="preserve"> A 28-year-old nonsmoking woman presented to the emergency department with the complaint of painless gross hematuria for 2 days</w:t>
      </w:r>
    </w:p>
    <w:p w14:paraId="1E043CE6" w14:textId="77777777" w:rsidR="000B215E" w:rsidRDefault="000B215E" w:rsidP="000B215E">
      <w:pPr>
        <w:shd w:val="clear" w:color="auto" w:fill="FFFFFF"/>
        <w:spacing w:after="0" w:line="240" w:lineRule="auto"/>
        <w:rPr>
          <w:rFonts w:eastAsia="Times New Roman" w:cs="Times New Roman"/>
          <w:color w:val="000000"/>
          <w:sz w:val="24"/>
          <w:szCs w:val="24"/>
        </w:rPr>
      </w:pPr>
    </w:p>
    <w:p w14:paraId="23A0F7A2" w14:textId="77777777" w:rsidR="000B215E" w:rsidRDefault="000B215E" w:rsidP="000B215E">
      <w:pPr>
        <w:shd w:val="clear" w:color="auto" w:fill="FFFFFF"/>
        <w:spacing w:after="0" w:line="240" w:lineRule="auto"/>
        <w:rPr>
          <w:rFonts w:eastAsia="Times New Roman" w:cs="Times New Roman"/>
          <w:color w:val="000000"/>
          <w:sz w:val="24"/>
          <w:szCs w:val="24"/>
        </w:rPr>
      </w:pPr>
      <w:r w:rsidRPr="00C971A9">
        <w:rPr>
          <w:rFonts w:eastAsia="Times New Roman" w:cs="Times New Roman"/>
          <w:color w:val="000000"/>
          <w:sz w:val="24"/>
          <w:szCs w:val="24"/>
        </w:rPr>
        <w:t>Recent routine blood tests, including hemoglobin, hematocrit and coagulation studies, were within normal limits. Her urinalysis revealed microscopic hematuria and was otherwise unremarkable.</w:t>
      </w:r>
    </w:p>
    <w:p w14:paraId="7148BE8A"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p>
    <w:p w14:paraId="0EC2B949"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sidRPr="00C971A9">
        <w:rPr>
          <w:rFonts w:eastAsia="Times New Roman" w:cs="Times New Roman"/>
          <w:b/>
          <w:color w:val="000000"/>
          <w:sz w:val="24"/>
          <w:szCs w:val="24"/>
        </w:rPr>
        <w:t>Imaging</w:t>
      </w:r>
    </w:p>
    <w:p w14:paraId="5F4AD074"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4/19/16 U</w:t>
      </w:r>
      <w:r w:rsidRPr="00C971A9">
        <w:rPr>
          <w:rFonts w:eastAsia="Times New Roman" w:cs="Times New Roman"/>
          <w:color w:val="000000"/>
          <w:sz w:val="24"/>
          <w:szCs w:val="24"/>
        </w:rPr>
        <w:t xml:space="preserve">ltrasound scan revealed multiple space-occupying lesions within the bladder, suggestive of bladder tumors. The kidneys were normal in appearance. </w:t>
      </w:r>
    </w:p>
    <w:p w14:paraId="542BCF0D" w14:textId="77777777" w:rsidR="000B215E" w:rsidRDefault="000B215E" w:rsidP="000B215E">
      <w:pPr>
        <w:shd w:val="clear" w:color="auto" w:fill="FFFFFF"/>
        <w:spacing w:after="0" w:line="240" w:lineRule="auto"/>
        <w:rPr>
          <w:rFonts w:eastAsia="Times New Roman" w:cs="Times New Roman"/>
          <w:color w:val="000000"/>
          <w:sz w:val="24"/>
          <w:szCs w:val="24"/>
        </w:rPr>
      </w:pPr>
    </w:p>
    <w:p w14:paraId="2FB3088E"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sidRPr="00C971A9">
        <w:rPr>
          <w:rFonts w:eastAsia="Times New Roman" w:cs="Times New Roman"/>
          <w:b/>
          <w:color w:val="000000"/>
          <w:sz w:val="24"/>
          <w:szCs w:val="24"/>
        </w:rPr>
        <w:t>Procedure(s)</w:t>
      </w:r>
      <w:r>
        <w:rPr>
          <w:rFonts w:eastAsia="Times New Roman" w:cs="Times New Roman"/>
          <w:b/>
          <w:color w:val="000000"/>
          <w:sz w:val="24"/>
          <w:szCs w:val="24"/>
        </w:rPr>
        <w:t xml:space="preserve"> and Histopathology</w:t>
      </w:r>
    </w:p>
    <w:p w14:paraId="025BF978"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4/20/16 Cystoscopy</w:t>
      </w:r>
      <w:r w:rsidRPr="00C971A9">
        <w:rPr>
          <w:rFonts w:eastAsia="Times New Roman" w:cs="Times New Roman"/>
          <w:color w:val="000000"/>
          <w:sz w:val="24"/>
          <w:szCs w:val="24"/>
        </w:rPr>
        <w:t xml:space="preserve"> confirmed multiple papillary tumors, approximately 10–12 mm in size, </w:t>
      </w:r>
      <w:r>
        <w:rPr>
          <w:rFonts w:eastAsia="Times New Roman" w:cs="Times New Roman"/>
          <w:color w:val="000000"/>
          <w:sz w:val="24"/>
          <w:szCs w:val="24"/>
        </w:rPr>
        <w:t xml:space="preserve">located on </w:t>
      </w:r>
      <w:r w:rsidRPr="00C971A9">
        <w:rPr>
          <w:rFonts w:eastAsia="Times New Roman" w:cs="Times New Roman"/>
          <w:color w:val="000000"/>
          <w:sz w:val="24"/>
          <w:szCs w:val="24"/>
        </w:rPr>
        <w:t>the posterior and lateral walls of the bladder. The trigone and the bladder neck were not involved, bilateral orifices had clear efflux of urine and there were no other noted mucosal lesions.</w:t>
      </w:r>
    </w:p>
    <w:p w14:paraId="1D7E27D1"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p>
    <w:p w14:paraId="0BCA51C0"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4/22/16 </w:t>
      </w:r>
      <w:r w:rsidRPr="00C971A9">
        <w:rPr>
          <w:rFonts w:eastAsia="Times New Roman" w:cs="Times New Roman"/>
          <w:color w:val="000000"/>
          <w:sz w:val="24"/>
          <w:szCs w:val="24"/>
        </w:rPr>
        <w:t xml:space="preserve">Complete transurethral resection (TUR) of the tumors was performed under general anesthesia and sent to pathology. </w:t>
      </w:r>
    </w:p>
    <w:p w14:paraId="6BAEEE8A" w14:textId="77777777" w:rsidR="000B215E" w:rsidRDefault="000B215E" w:rsidP="000B215E">
      <w:pPr>
        <w:shd w:val="clear" w:color="auto" w:fill="FFFFFF"/>
        <w:spacing w:after="0" w:line="240" w:lineRule="auto"/>
        <w:rPr>
          <w:rFonts w:eastAsia="Times New Roman" w:cs="Times New Roman"/>
          <w:color w:val="000000"/>
          <w:sz w:val="24"/>
          <w:szCs w:val="24"/>
        </w:rPr>
      </w:pPr>
    </w:p>
    <w:p w14:paraId="31022263" w14:textId="2BC688DB"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4/23/16 Surgical Histopathology: D</w:t>
      </w:r>
      <w:r w:rsidRPr="00C971A9">
        <w:rPr>
          <w:rFonts w:eastAsia="Times New Roman" w:cs="Times New Roman"/>
          <w:color w:val="000000"/>
          <w:sz w:val="24"/>
          <w:szCs w:val="24"/>
        </w:rPr>
        <w:t>emonstrated a grade 2</w:t>
      </w:r>
      <w:r w:rsidR="00722811">
        <w:rPr>
          <w:rFonts w:eastAsia="Times New Roman" w:cs="Times New Roman"/>
          <w:color w:val="000000"/>
          <w:sz w:val="24"/>
          <w:szCs w:val="24"/>
        </w:rPr>
        <w:t xml:space="preserve"> invasive </w:t>
      </w:r>
      <w:r w:rsidRPr="00C971A9">
        <w:rPr>
          <w:rFonts w:eastAsia="Times New Roman" w:cs="Times New Roman"/>
          <w:color w:val="000000"/>
          <w:sz w:val="24"/>
          <w:szCs w:val="24"/>
        </w:rPr>
        <w:t>transitional cell carcinom</w:t>
      </w:r>
      <w:r>
        <w:rPr>
          <w:rFonts w:eastAsia="Times New Roman" w:cs="Times New Roman"/>
          <w:color w:val="000000"/>
          <w:sz w:val="24"/>
          <w:szCs w:val="24"/>
        </w:rPr>
        <w:t>a (TCC) with no muscle invasion.</w:t>
      </w:r>
    </w:p>
    <w:p w14:paraId="39EE0C5A" w14:textId="77777777" w:rsidR="000B215E" w:rsidRDefault="000B215E" w:rsidP="000B215E">
      <w:pPr>
        <w:shd w:val="clear" w:color="auto" w:fill="FFFFFF"/>
        <w:spacing w:after="0" w:line="240" w:lineRule="auto"/>
        <w:rPr>
          <w:rFonts w:eastAsia="Times New Roman" w:cs="Times New Roman"/>
          <w:color w:val="000000"/>
          <w:sz w:val="24"/>
          <w:szCs w:val="24"/>
        </w:rPr>
      </w:pPr>
    </w:p>
    <w:p w14:paraId="7C5CB11B"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5/24/16 </w:t>
      </w:r>
      <w:r w:rsidRPr="00C971A9">
        <w:rPr>
          <w:rFonts w:eastAsia="Times New Roman" w:cs="Times New Roman"/>
          <w:color w:val="000000"/>
          <w:sz w:val="24"/>
          <w:szCs w:val="24"/>
        </w:rPr>
        <w:t xml:space="preserve">A resection of the former resected sites was performed. </w:t>
      </w:r>
    </w:p>
    <w:p w14:paraId="0B0365E7" w14:textId="77777777" w:rsidR="000B215E" w:rsidRDefault="000B215E" w:rsidP="000B215E">
      <w:pPr>
        <w:shd w:val="clear" w:color="auto" w:fill="FFFFFF"/>
        <w:spacing w:after="0" w:line="240" w:lineRule="auto"/>
        <w:rPr>
          <w:rFonts w:eastAsia="Times New Roman" w:cs="Times New Roman"/>
          <w:color w:val="000000"/>
          <w:sz w:val="24"/>
          <w:szCs w:val="24"/>
        </w:rPr>
      </w:pPr>
    </w:p>
    <w:p w14:paraId="1C690398" w14:textId="77777777" w:rsidR="000B215E"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5/25/16 Final </w:t>
      </w:r>
      <w:r w:rsidRPr="00C971A9">
        <w:rPr>
          <w:rFonts w:eastAsia="Times New Roman" w:cs="Times New Roman"/>
          <w:color w:val="000000"/>
          <w:sz w:val="24"/>
          <w:szCs w:val="24"/>
        </w:rPr>
        <w:t>No tumors were found in anterior sites of the resection and no carcinoma </w:t>
      </w:r>
      <w:r w:rsidRPr="00C971A9">
        <w:rPr>
          <w:rFonts w:eastAsia="Times New Roman" w:cs="Times New Roman"/>
          <w:i/>
          <w:iCs/>
          <w:color w:val="000000"/>
          <w:sz w:val="24"/>
          <w:szCs w:val="24"/>
        </w:rPr>
        <w:t>in situ</w:t>
      </w:r>
      <w:r w:rsidRPr="00C971A9">
        <w:rPr>
          <w:rFonts w:eastAsia="Times New Roman" w:cs="Times New Roman"/>
          <w:color w:val="000000"/>
          <w:sz w:val="24"/>
          <w:szCs w:val="24"/>
        </w:rPr>
        <w:t> was noted on the edges of the resection areas in both pathology exams.</w:t>
      </w:r>
    </w:p>
    <w:p w14:paraId="03BBAC4C" w14:textId="77777777" w:rsidR="000B215E" w:rsidRDefault="000B215E" w:rsidP="000B215E">
      <w:pPr>
        <w:shd w:val="clear" w:color="auto" w:fill="FFFFFF"/>
        <w:spacing w:after="0" w:line="240" w:lineRule="auto"/>
        <w:rPr>
          <w:rFonts w:eastAsia="Times New Roman" w:cs="Times New Roman"/>
          <w:color w:val="000000"/>
          <w:sz w:val="24"/>
          <w:szCs w:val="24"/>
        </w:rPr>
      </w:pPr>
    </w:p>
    <w:p w14:paraId="51CD9D6D" w14:textId="77777777" w:rsidR="000B215E" w:rsidRPr="00C971A9" w:rsidRDefault="000B215E" w:rsidP="000B215E">
      <w:pPr>
        <w:shd w:val="clear" w:color="auto" w:fill="FFFFFF"/>
        <w:spacing w:after="0" w:line="240" w:lineRule="auto"/>
        <w:rPr>
          <w:rFonts w:eastAsia="Times New Roman" w:cs="Times New Roman"/>
          <w:b/>
          <w:color w:val="000000"/>
          <w:sz w:val="24"/>
          <w:szCs w:val="24"/>
        </w:rPr>
      </w:pPr>
      <w:r w:rsidRPr="00C971A9">
        <w:rPr>
          <w:rFonts w:eastAsia="Times New Roman" w:cs="Times New Roman"/>
          <w:b/>
          <w:color w:val="000000"/>
          <w:sz w:val="24"/>
          <w:szCs w:val="24"/>
        </w:rPr>
        <w:t>Treatment</w:t>
      </w:r>
    </w:p>
    <w:p w14:paraId="581D32D1" w14:textId="77777777" w:rsidR="00D40624" w:rsidRDefault="000B215E" w:rsidP="000B215E">
      <w:pPr>
        <w:shd w:val="clear" w:color="auto" w:fill="FFFFFF"/>
        <w:spacing w:after="0" w:line="240" w:lineRule="auto"/>
        <w:rPr>
          <w:rFonts w:eastAsia="Times New Roman" w:cs="Times New Roman"/>
          <w:color w:val="000000"/>
          <w:sz w:val="24"/>
          <w:szCs w:val="24"/>
        </w:rPr>
      </w:pPr>
      <w:r>
        <w:rPr>
          <w:rFonts w:eastAsia="Times New Roman" w:cs="Times New Roman"/>
          <w:color w:val="000000"/>
          <w:sz w:val="24"/>
          <w:szCs w:val="24"/>
        </w:rPr>
        <w:t xml:space="preserve">5/27/16 – 8/9/16 </w:t>
      </w:r>
      <w:r w:rsidRPr="00C971A9">
        <w:rPr>
          <w:rFonts w:eastAsia="Times New Roman" w:cs="Times New Roman"/>
          <w:color w:val="000000"/>
          <w:sz w:val="24"/>
          <w:szCs w:val="24"/>
        </w:rPr>
        <w:t>Intravesical bacille Calmette-Guérin (BCG) immunotherapy was administered in a maintenance schedule after patient consent was obtained. She developed further recurrences after the first six BCG bladder instillations. Then, contact was lost with the patient, despite multiple calls.</w:t>
      </w:r>
    </w:p>
    <w:p w14:paraId="73335C0E" w14:textId="77777777" w:rsidR="00D40624" w:rsidRDefault="00D40624">
      <w:pPr>
        <w:rPr>
          <w:rFonts w:eastAsia="Times New Roman" w:cs="Times New Roman"/>
          <w:color w:val="000000"/>
          <w:sz w:val="24"/>
          <w:szCs w:val="24"/>
        </w:rPr>
      </w:pPr>
      <w:r>
        <w:rPr>
          <w:rFonts w:eastAsia="Times New Roman" w:cs="Times New Roman"/>
          <w:color w:val="000000"/>
          <w:sz w:val="24"/>
          <w:szCs w:val="24"/>
        </w:rP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1879"/>
        <w:gridCol w:w="173"/>
        <w:gridCol w:w="2538"/>
        <w:gridCol w:w="2250"/>
      </w:tblGrid>
      <w:tr w:rsidR="000B215E" w:rsidRPr="008D6F8A" w14:paraId="3379FC04" w14:textId="77777777" w:rsidTr="004D2E41">
        <w:tc>
          <w:tcPr>
            <w:tcW w:w="4657" w:type="dxa"/>
            <w:gridSpan w:val="3"/>
            <w:shd w:val="clear" w:color="auto" w:fill="auto"/>
          </w:tcPr>
          <w:p w14:paraId="145F8704" w14:textId="77777777" w:rsidR="000B215E" w:rsidRDefault="000B215E" w:rsidP="000B215E">
            <w:pPr>
              <w:numPr>
                <w:ilvl w:val="0"/>
                <w:numId w:val="3"/>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14:paraId="2FCB56BB" w14:textId="0B394862" w:rsidR="000B215E" w:rsidRPr="008D6F8A" w:rsidRDefault="000B215E" w:rsidP="004D2E41">
            <w:pPr>
              <w:spacing w:after="0" w:line="240" w:lineRule="auto"/>
              <w:ind w:left="720"/>
              <w:contextualSpacing/>
              <w:rPr>
                <w:rFonts w:cs="Calibri"/>
                <w:b/>
                <w:bCs/>
                <w:color w:val="365F91"/>
              </w:rPr>
            </w:pPr>
          </w:p>
          <w:p w14:paraId="26CB1934" w14:textId="77777777" w:rsidR="000B215E"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histology?</w:t>
            </w:r>
          </w:p>
          <w:p w14:paraId="5892AE7D" w14:textId="2F9A7BCB" w:rsidR="00744C91" w:rsidRDefault="00744C91" w:rsidP="00744C91">
            <w:pPr>
              <w:spacing w:after="0" w:line="240" w:lineRule="auto"/>
              <w:ind w:left="720"/>
              <w:contextualSpacing/>
              <w:rPr>
                <w:rFonts w:cs="Calibri"/>
                <w:b/>
                <w:bCs/>
                <w:color w:val="365F91"/>
              </w:rPr>
            </w:pPr>
          </w:p>
          <w:p w14:paraId="0E3CE002" w14:textId="77777777" w:rsidR="000B215E" w:rsidRPr="008D6F8A" w:rsidRDefault="000B215E" w:rsidP="004D2E41">
            <w:pPr>
              <w:spacing w:after="0" w:line="240" w:lineRule="auto"/>
              <w:contextualSpacing/>
              <w:rPr>
                <w:rFonts w:cs="Calibri"/>
                <w:b/>
                <w:bCs/>
                <w:color w:val="365F91"/>
              </w:rPr>
            </w:pPr>
          </w:p>
        </w:tc>
        <w:tc>
          <w:tcPr>
            <w:tcW w:w="4788" w:type="dxa"/>
            <w:gridSpan w:val="2"/>
            <w:shd w:val="clear" w:color="auto" w:fill="auto"/>
          </w:tcPr>
          <w:p w14:paraId="506A6419" w14:textId="77777777" w:rsidR="000B215E" w:rsidRPr="008D6F8A" w:rsidRDefault="000B215E" w:rsidP="000B215E">
            <w:pPr>
              <w:numPr>
                <w:ilvl w:val="0"/>
                <w:numId w:val="3"/>
              </w:numPr>
              <w:spacing w:after="0" w:line="240" w:lineRule="auto"/>
              <w:contextualSpacing/>
              <w:rPr>
                <w:rFonts w:cs="Calibri"/>
                <w:b/>
                <w:bCs/>
                <w:color w:val="365F91"/>
              </w:rPr>
            </w:pPr>
            <w:r w:rsidRPr="008D6F8A">
              <w:rPr>
                <w:rFonts w:cs="Calibri"/>
                <w:b/>
                <w:bCs/>
                <w:color w:val="365F91"/>
              </w:rPr>
              <w:t>What is the grade/differentiation?</w:t>
            </w:r>
          </w:p>
          <w:p w14:paraId="1C8EF5D7" w14:textId="16A921E2" w:rsidR="000B215E" w:rsidRPr="008D6F8A" w:rsidRDefault="000B215E" w:rsidP="00B3233E">
            <w:pPr>
              <w:spacing w:after="0" w:line="240" w:lineRule="auto"/>
              <w:ind w:left="720"/>
              <w:contextualSpacing/>
              <w:rPr>
                <w:rFonts w:cs="Calibri"/>
                <w:b/>
                <w:bCs/>
                <w:color w:val="365F91"/>
              </w:rPr>
            </w:pPr>
          </w:p>
        </w:tc>
      </w:tr>
      <w:tr w:rsidR="000B215E" w:rsidRPr="008D6F8A" w14:paraId="6D0D8456" w14:textId="77777777" w:rsidTr="004D2E41">
        <w:tc>
          <w:tcPr>
            <w:tcW w:w="9445" w:type="dxa"/>
            <w:gridSpan w:val="5"/>
            <w:shd w:val="clear" w:color="auto" w:fill="auto"/>
          </w:tcPr>
          <w:p w14:paraId="69C60728" w14:textId="77777777" w:rsidR="000B215E" w:rsidRPr="008D6F8A" w:rsidRDefault="000B215E" w:rsidP="004D2E41">
            <w:pPr>
              <w:spacing w:after="0" w:line="256" w:lineRule="auto"/>
              <w:contextualSpacing/>
              <w:jc w:val="center"/>
              <w:rPr>
                <w:rFonts w:cs="Calibri"/>
                <w:b/>
                <w:bCs/>
                <w:color w:val="365F91"/>
              </w:rPr>
            </w:pPr>
            <w:r w:rsidRPr="008D6F8A">
              <w:rPr>
                <w:rFonts w:cs="Calibri"/>
                <w:b/>
                <w:bCs/>
                <w:color w:val="365F91"/>
              </w:rPr>
              <w:t>Stage/ Prognostic Factors</w:t>
            </w:r>
          </w:p>
        </w:tc>
      </w:tr>
      <w:tr w:rsidR="000B215E" w:rsidRPr="008D6F8A" w14:paraId="47A85745" w14:textId="77777777" w:rsidTr="004D2E41">
        <w:tc>
          <w:tcPr>
            <w:tcW w:w="2605" w:type="dxa"/>
            <w:shd w:val="clear" w:color="auto" w:fill="auto"/>
          </w:tcPr>
          <w:p w14:paraId="3A9ACC48" w14:textId="77777777" w:rsidR="000B215E" w:rsidRPr="008D6F8A" w:rsidRDefault="000B215E" w:rsidP="004D2E41">
            <w:pPr>
              <w:spacing w:after="0" w:line="256" w:lineRule="auto"/>
              <w:rPr>
                <w:rFonts w:cs="Calibri"/>
                <w:color w:val="365F91"/>
              </w:rPr>
            </w:pPr>
            <w:r>
              <w:rPr>
                <w:rFonts w:cs="Calibri"/>
                <w:color w:val="365F91"/>
              </w:rPr>
              <w:t>Summary Stage</w:t>
            </w:r>
          </w:p>
        </w:tc>
        <w:tc>
          <w:tcPr>
            <w:tcW w:w="1879" w:type="dxa"/>
            <w:shd w:val="clear" w:color="auto" w:fill="D3DFEE"/>
          </w:tcPr>
          <w:p w14:paraId="5F9BB581" w14:textId="2FC946C1" w:rsidR="000B215E" w:rsidRPr="008D6F8A" w:rsidRDefault="000B215E" w:rsidP="004D2E41">
            <w:pPr>
              <w:spacing w:after="0" w:line="256" w:lineRule="auto"/>
              <w:rPr>
                <w:rFonts w:cs="Calibri"/>
                <w:color w:val="365F91"/>
              </w:rPr>
            </w:pPr>
          </w:p>
        </w:tc>
        <w:tc>
          <w:tcPr>
            <w:tcW w:w="2711" w:type="dxa"/>
            <w:gridSpan w:val="2"/>
            <w:shd w:val="clear" w:color="auto" w:fill="auto"/>
          </w:tcPr>
          <w:p w14:paraId="738EFD69" w14:textId="77777777" w:rsidR="000B215E" w:rsidRPr="008D6F8A" w:rsidRDefault="000B215E" w:rsidP="004D2E41">
            <w:pPr>
              <w:spacing w:after="0" w:line="256" w:lineRule="auto"/>
              <w:rPr>
                <w:rFonts w:cs="Calibri"/>
                <w:color w:val="365F91"/>
              </w:rPr>
            </w:pPr>
          </w:p>
        </w:tc>
        <w:tc>
          <w:tcPr>
            <w:tcW w:w="2250" w:type="dxa"/>
            <w:shd w:val="clear" w:color="auto" w:fill="D3DFEE"/>
          </w:tcPr>
          <w:p w14:paraId="4F9CA665" w14:textId="77777777" w:rsidR="000B215E" w:rsidRPr="008D6F8A" w:rsidRDefault="000B215E" w:rsidP="004D2E41">
            <w:pPr>
              <w:spacing w:after="0" w:line="256" w:lineRule="auto"/>
              <w:rPr>
                <w:rFonts w:cs="Calibri"/>
                <w:color w:val="365F91"/>
              </w:rPr>
            </w:pPr>
          </w:p>
        </w:tc>
      </w:tr>
      <w:tr w:rsidR="000B215E" w:rsidRPr="008D6F8A" w14:paraId="0F3D4302" w14:textId="77777777" w:rsidTr="004D2E41">
        <w:tc>
          <w:tcPr>
            <w:tcW w:w="2605" w:type="dxa"/>
            <w:shd w:val="clear" w:color="auto" w:fill="auto"/>
          </w:tcPr>
          <w:p w14:paraId="2028BF18" w14:textId="77777777" w:rsidR="000B215E" w:rsidRPr="008D6F8A" w:rsidRDefault="000B215E" w:rsidP="004D2E41">
            <w:pPr>
              <w:spacing w:after="0" w:line="256" w:lineRule="auto"/>
              <w:rPr>
                <w:rFonts w:cs="Calibri"/>
                <w:bCs/>
                <w:color w:val="365F91"/>
              </w:rPr>
            </w:pPr>
            <w:r w:rsidRPr="008D6F8A">
              <w:rPr>
                <w:rFonts w:cs="Calibri"/>
                <w:color w:val="365F91"/>
              </w:rPr>
              <w:t>TNM Clin T</w:t>
            </w:r>
          </w:p>
        </w:tc>
        <w:tc>
          <w:tcPr>
            <w:tcW w:w="1879" w:type="dxa"/>
            <w:shd w:val="clear" w:color="auto" w:fill="D3DFEE"/>
          </w:tcPr>
          <w:p w14:paraId="5637CB11" w14:textId="57AC15AE" w:rsidR="000B215E" w:rsidRPr="008D6F8A" w:rsidRDefault="000B215E" w:rsidP="004D2E41">
            <w:pPr>
              <w:spacing w:after="0" w:line="256" w:lineRule="auto"/>
              <w:rPr>
                <w:rFonts w:cs="Calibri"/>
                <w:color w:val="365F91"/>
              </w:rPr>
            </w:pPr>
          </w:p>
        </w:tc>
        <w:tc>
          <w:tcPr>
            <w:tcW w:w="2711" w:type="dxa"/>
            <w:gridSpan w:val="2"/>
            <w:shd w:val="clear" w:color="auto" w:fill="auto"/>
          </w:tcPr>
          <w:p w14:paraId="357632BA" w14:textId="77777777" w:rsidR="000B215E" w:rsidRPr="008D6F8A" w:rsidRDefault="000B215E" w:rsidP="004D2E41">
            <w:pPr>
              <w:spacing w:after="0" w:line="256" w:lineRule="auto"/>
              <w:rPr>
                <w:rFonts w:cs="Calibri"/>
                <w:bCs/>
                <w:color w:val="365F91"/>
              </w:rPr>
            </w:pPr>
            <w:r w:rsidRPr="008D6F8A">
              <w:rPr>
                <w:rFonts w:cs="Calibri"/>
                <w:color w:val="365F91"/>
              </w:rPr>
              <w:t>TNM Path T</w:t>
            </w:r>
          </w:p>
        </w:tc>
        <w:tc>
          <w:tcPr>
            <w:tcW w:w="2250" w:type="dxa"/>
            <w:shd w:val="clear" w:color="auto" w:fill="D3DFEE"/>
          </w:tcPr>
          <w:p w14:paraId="1284E476" w14:textId="77777777" w:rsidR="000B215E" w:rsidRPr="008D6F8A" w:rsidRDefault="000B215E" w:rsidP="004D2E41">
            <w:pPr>
              <w:spacing w:after="0" w:line="256" w:lineRule="auto"/>
              <w:rPr>
                <w:rFonts w:cs="Calibri"/>
                <w:color w:val="365F91"/>
              </w:rPr>
            </w:pPr>
          </w:p>
        </w:tc>
      </w:tr>
      <w:tr w:rsidR="000B215E" w:rsidRPr="008D6F8A" w14:paraId="00420FAB" w14:textId="77777777" w:rsidTr="004D2E41">
        <w:trPr>
          <w:trHeight w:val="242"/>
        </w:trPr>
        <w:tc>
          <w:tcPr>
            <w:tcW w:w="2605" w:type="dxa"/>
            <w:shd w:val="clear" w:color="auto" w:fill="auto"/>
          </w:tcPr>
          <w:p w14:paraId="3C4069C9" w14:textId="77777777" w:rsidR="000B215E" w:rsidRPr="008D6F8A" w:rsidRDefault="000B215E" w:rsidP="004D2E41">
            <w:pPr>
              <w:spacing w:after="0" w:line="256" w:lineRule="auto"/>
              <w:rPr>
                <w:rFonts w:cs="Calibri"/>
                <w:bCs/>
                <w:color w:val="365F91"/>
              </w:rPr>
            </w:pPr>
            <w:r w:rsidRPr="008D6F8A">
              <w:rPr>
                <w:rFonts w:cs="Calibri"/>
                <w:bCs/>
                <w:color w:val="365F91"/>
              </w:rPr>
              <w:t>TNM Clin N</w:t>
            </w:r>
          </w:p>
        </w:tc>
        <w:tc>
          <w:tcPr>
            <w:tcW w:w="1879" w:type="dxa"/>
            <w:shd w:val="clear" w:color="auto" w:fill="D3DFEE"/>
          </w:tcPr>
          <w:p w14:paraId="0E27177E" w14:textId="7FC89D8E" w:rsidR="000B215E" w:rsidRPr="008D6F8A" w:rsidRDefault="000B215E" w:rsidP="004D2E41">
            <w:pPr>
              <w:spacing w:after="0" w:line="256" w:lineRule="auto"/>
              <w:rPr>
                <w:rFonts w:cs="Calibri"/>
                <w:color w:val="365F91"/>
              </w:rPr>
            </w:pPr>
          </w:p>
        </w:tc>
        <w:tc>
          <w:tcPr>
            <w:tcW w:w="2711" w:type="dxa"/>
            <w:gridSpan w:val="2"/>
            <w:shd w:val="clear" w:color="auto" w:fill="auto"/>
          </w:tcPr>
          <w:p w14:paraId="0CBCFD97" w14:textId="77777777" w:rsidR="000B215E" w:rsidRPr="008D6F8A" w:rsidRDefault="000B215E" w:rsidP="004D2E41">
            <w:pPr>
              <w:spacing w:after="0" w:line="256" w:lineRule="auto"/>
              <w:rPr>
                <w:rFonts w:cs="Calibri"/>
                <w:bCs/>
                <w:color w:val="365F91"/>
              </w:rPr>
            </w:pPr>
            <w:r w:rsidRPr="008D6F8A">
              <w:rPr>
                <w:rFonts w:cs="Calibri"/>
                <w:bCs/>
                <w:color w:val="365F91"/>
              </w:rPr>
              <w:t>TNM Path N</w:t>
            </w:r>
          </w:p>
        </w:tc>
        <w:tc>
          <w:tcPr>
            <w:tcW w:w="2250" w:type="dxa"/>
            <w:shd w:val="clear" w:color="auto" w:fill="D3DFEE"/>
          </w:tcPr>
          <w:p w14:paraId="495941E7" w14:textId="77777777" w:rsidR="000B215E" w:rsidRPr="008D6F8A" w:rsidRDefault="000B215E" w:rsidP="004D2E41">
            <w:pPr>
              <w:spacing w:after="0" w:line="256" w:lineRule="auto"/>
              <w:rPr>
                <w:rFonts w:cs="Calibri"/>
                <w:color w:val="365F91"/>
              </w:rPr>
            </w:pPr>
          </w:p>
        </w:tc>
      </w:tr>
      <w:tr w:rsidR="000B215E" w:rsidRPr="008D6F8A" w14:paraId="66552447" w14:textId="77777777" w:rsidTr="004D2E41">
        <w:tc>
          <w:tcPr>
            <w:tcW w:w="2605" w:type="dxa"/>
            <w:shd w:val="clear" w:color="auto" w:fill="auto"/>
          </w:tcPr>
          <w:p w14:paraId="015FB0F2" w14:textId="77777777" w:rsidR="000B215E" w:rsidRPr="008D6F8A" w:rsidRDefault="000B215E" w:rsidP="004D2E41">
            <w:pPr>
              <w:spacing w:after="0" w:line="256" w:lineRule="auto"/>
              <w:rPr>
                <w:rFonts w:cs="Calibri"/>
                <w:color w:val="365F91"/>
              </w:rPr>
            </w:pPr>
            <w:r w:rsidRPr="008D6F8A">
              <w:rPr>
                <w:rFonts w:cs="Calibri"/>
                <w:color w:val="365F91"/>
              </w:rPr>
              <w:t>TNM Clin M</w:t>
            </w:r>
          </w:p>
        </w:tc>
        <w:tc>
          <w:tcPr>
            <w:tcW w:w="1879" w:type="dxa"/>
            <w:shd w:val="clear" w:color="auto" w:fill="D3DFEE"/>
          </w:tcPr>
          <w:p w14:paraId="4F13F2A1" w14:textId="4E515FA0" w:rsidR="000B215E" w:rsidRPr="008D6F8A" w:rsidRDefault="000B215E" w:rsidP="004D2E41">
            <w:pPr>
              <w:spacing w:after="0" w:line="256" w:lineRule="auto"/>
              <w:rPr>
                <w:rFonts w:cs="Calibri"/>
                <w:color w:val="365F91"/>
              </w:rPr>
            </w:pPr>
          </w:p>
        </w:tc>
        <w:tc>
          <w:tcPr>
            <w:tcW w:w="2711" w:type="dxa"/>
            <w:gridSpan w:val="2"/>
            <w:shd w:val="clear" w:color="auto" w:fill="auto"/>
          </w:tcPr>
          <w:p w14:paraId="4B4FF3F9" w14:textId="77777777" w:rsidR="000B215E" w:rsidRPr="008D6F8A" w:rsidRDefault="000B215E" w:rsidP="004D2E41">
            <w:pPr>
              <w:spacing w:after="0" w:line="256" w:lineRule="auto"/>
              <w:rPr>
                <w:rFonts w:cs="Calibri"/>
                <w:color w:val="365F91"/>
              </w:rPr>
            </w:pPr>
            <w:r w:rsidRPr="008D6F8A">
              <w:rPr>
                <w:rFonts w:cs="Calibri"/>
                <w:color w:val="365F91"/>
              </w:rPr>
              <w:t>TNM Path M</w:t>
            </w:r>
          </w:p>
        </w:tc>
        <w:tc>
          <w:tcPr>
            <w:tcW w:w="2250" w:type="dxa"/>
            <w:shd w:val="clear" w:color="auto" w:fill="D3DFEE"/>
          </w:tcPr>
          <w:p w14:paraId="554F82AE" w14:textId="77777777" w:rsidR="000B215E" w:rsidRPr="008D6F8A" w:rsidRDefault="000B215E" w:rsidP="004D2E41">
            <w:pPr>
              <w:spacing w:after="0" w:line="256" w:lineRule="auto"/>
              <w:rPr>
                <w:rFonts w:cs="Calibri"/>
                <w:color w:val="365F91"/>
              </w:rPr>
            </w:pPr>
          </w:p>
        </w:tc>
      </w:tr>
      <w:tr w:rsidR="000B215E" w:rsidRPr="008D6F8A" w14:paraId="03ED0A24" w14:textId="77777777" w:rsidTr="004D2E41">
        <w:tc>
          <w:tcPr>
            <w:tcW w:w="2605" w:type="dxa"/>
            <w:shd w:val="clear" w:color="auto" w:fill="auto"/>
          </w:tcPr>
          <w:p w14:paraId="6B5D942D" w14:textId="77777777" w:rsidR="000B215E" w:rsidRPr="008D6F8A" w:rsidRDefault="000B215E" w:rsidP="004D2E41">
            <w:pPr>
              <w:spacing w:after="0" w:line="256" w:lineRule="auto"/>
              <w:rPr>
                <w:rFonts w:cs="Calibri"/>
                <w:color w:val="365F91"/>
              </w:rPr>
            </w:pPr>
            <w:r w:rsidRPr="008D6F8A">
              <w:rPr>
                <w:rFonts w:cs="Calibri"/>
                <w:color w:val="365F91"/>
              </w:rPr>
              <w:t>TNM Clin Stage</w:t>
            </w:r>
          </w:p>
        </w:tc>
        <w:tc>
          <w:tcPr>
            <w:tcW w:w="1879" w:type="dxa"/>
            <w:shd w:val="clear" w:color="auto" w:fill="D3DFEE"/>
          </w:tcPr>
          <w:p w14:paraId="000A8121" w14:textId="22CE4D86" w:rsidR="000B215E" w:rsidRPr="008D6F8A" w:rsidRDefault="000B215E" w:rsidP="004D2E41">
            <w:pPr>
              <w:spacing w:after="0" w:line="256" w:lineRule="auto"/>
              <w:rPr>
                <w:rFonts w:cs="Calibri"/>
                <w:color w:val="365F91"/>
              </w:rPr>
            </w:pPr>
          </w:p>
        </w:tc>
        <w:tc>
          <w:tcPr>
            <w:tcW w:w="2711" w:type="dxa"/>
            <w:gridSpan w:val="2"/>
            <w:shd w:val="clear" w:color="auto" w:fill="auto"/>
          </w:tcPr>
          <w:p w14:paraId="2E088F5A" w14:textId="77777777" w:rsidR="000B215E" w:rsidRPr="008D6F8A" w:rsidRDefault="000B215E" w:rsidP="004D2E41">
            <w:pPr>
              <w:spacing w:after="0" w:line="256" w:lineRule="auto"/>
              <w:rPr>
                <w:rFonts w:cs="Calibri"/>
                <w:color w:val="365F91"/>
              </w:rPr>
            </w:pPr>
            <w:r w:rsidRPr="008D6F8A">
              <w:rPr>
                <w:rFonts w:cs="Calibri"/>
                <w:color w:val="365F91"/>
              </w:rPr>
              <w:t>TNM Path Stage</w:t>
            </w:r>
          </w:p>
        </w:tc>
        <w:tc>
          <w:tcPr>
            <w:tcW w:w="2250" w:type="dxa"/>
            <w:shd w:val="clear" w:color="auto" w:fill="D3DFEE"/>
          </w:tcPr>
          <w:p w14:paraId="19704AAA" w14:textId="7185A9A0" w:rsidR="000B215E" w:rsidRPr="008D6F8A" w:rsidRDefault="000B215E" w:rsidP="004D2E41">
            <w:pPr>
              <w:spacing w:after="0" w:line="256" w:lineRule="auto"/>
              <w:rPr>
                <w:rFonts w:cs="Calibri"/>
                <w:color w:val="365F91"/>
              </w:rPr>
            </w:pPr>
          </w:p>
        </w:tc>
      </w:tr>
    </w:tbl>
    <w:p w14:paraId="37AACB44" w14:textId="77777777" w:rsidR="000B215E" w:rsidRPr="00C971A9" w:rsidRDefault="000B215E" w:rsidP="000B215E">
      <w:pPr>
        <w:shd w:val="clear" w:color="auto" w:fill="FFFFFF"/>
        <w:spacing w:after="0" w:line="240" w:lineRule="auto"/>
        <w:rPr>
          <w:rFonts w:eastAsia="Times New Roman" w:cs="Times New Roman"/>
          <w:color w:val="000000"/>
          <w:sz w:val="24"/>
          <w:szCs w:val="24"/>
        </w:rPr>
      </w:pPr>
    </w:p>
    <w:p w14:paraId="2E44AE6B" w14:textId="77777777" w:rsidR="000B215E" w:rsidRPr="00D433CA" w:rsidRDefault="000B215E" w:rsidP="001F2E44">
      <w:pPr>
        <w:shd w:val="clear" w:color="auto" w:fill="FFFFFF"/>
        <w:rPr>
          <w:color w:val="333333"/>
          <w:sz w:val="24"/>
          <w:szCs w:val="24"/>
        </w:rPr>
      </w:pPr>
    </w:p>
    <w:sectPr w:rsidR="000B215E" w:rsidRPr="00D43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3AEA"/>
    <w:multiLevelType w:val="hybridMultilevel"/>
    <w:tmpl w:val="BC1C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83006"/>
    <w:multiLevelType w:val="hybridMultilevel"/>
    <w:tmpl w:val="2744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769F4"/>
    <w:multiLevelType w:val="hybridMultilevel"/>
    <w:tmpl w:val="E4E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44"/>
    <w:rsid w:val="000B215E"/>
    <w:rsid w:val="00133B1A"/>
    <w:rsid w:val="00135DEB"/>
    <w:rsid w:val="001C1D0A"/>
    <w:rsid w:val="001C760B"/>
    <w:rsid w:val="001F2E44"/>
    <w:rsid w:val="00236BF8"/>
    <w:rsid w:val="00273017"/>
    <w:rsid w:val="002A0A74"/>
    <w:rsid w:val="002E49FB"/>
    <w:rsid w:val="00460A6F"/>
    <w:rsid w:val="00461B10"/>
    <w:rsid w:val="004A20FC"/>
    <w:rsid w:val="005B6285"/>
    <w:rsid w:val="005C40FA"/>
    <w:rsid w:val="00707EDC"/>
    <w:rsid w:val="00722811"/>
    <w:rsid w:val="00744C91"/>
    <w:rsid w:val="0099294B"/>
    <w:rsid w:val="0099598A"/>
    <w:rsid w:val="00B3233E"/>
    <w:rsid w:val="00BB09BE"/>
    <w:rsid w:val="00CE1910"/>
    <w:rsid w:val="00D07654"/>
    <w:rsid w:val="00D2014E"/>
    <w:rsid w:val="00D40624"/>
    <w:rsid w:val="00D433CA"/>
    <w:rsid w:val="00DA6B75"/>
    <w:rsid w:val="00DB7C70"/>
    <w:rsid w:val="00DE2052"/>
    <w:rsid w:val="00F25ED0"/>
    <w:rsid w:val="00F8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594C"/>
  <w15:chartTrackingRefBased/>
  <w15:docId w15:val="{B1F933C5-F448-420C-86FE-429B5AF7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2E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E44"/>
    <w:pPr>
      <w:spacing w:after="0" w:line="240" w:lineRule="auto"/>
      <w:ind w:left="720"/>
    </w:pPr>
    <w:rPr>
      <w:rFonts w:ascii="Arial" w:hAnsi="Arial" w:cs="Arial"/>
      <w:color w:val="000000"/>
      <w:sz w:val="24"/>
      <w:szCs w:val="24"/>
    </w:rPr>
  </w:style>
  <w:style w:type="character" w:customStyle="1" w:styleId="Heading2Char">
    <w:name w:val="Heading 2 Char"/>
    <w:basedOn w:val="DefaultParagraphFont"/>
    <w:link w:val="Heading2"/>
    <w:uiPriority w:val="9"/>
    <w:rsid w:val="001F2E44"/>
    <w:rPr>
      <w:rFonts w:ascii="Times New Roman" w:eastAsia="Times New Roman" w:hAnsi="Times New Roman" w:cs="Times New Roman"/>
      <w:b/>
      <w:bCs/>
      <w:sz w:val="36"/>
      <w:szCs w:val="36"/>
    </w:rPr>
  </w:style>
  <w:style w:type="character" w:styleId="Strong">
    <w:name w:val="Strong"/>
    <w:basedOn w:val="DefaultParagraphFont"/>
    <w:uiPriority w:val="22"/>
    <w:qFormat/>
    <w:rsid w:val="001F2E44"/>
    <w:rPr>
      <w:b/>
      <w:bCs/>
    </w:rPr>
  </w:style>
  <w:style w:type="character" w:customStyle="1" w:styleId="apple-converted-space">
    <w:name w:val="apple-converted-space"/>
    <w:basedOn w:val="DefaultParagraphFont"/>
    <w:rsid w:val="001F2E44"/>
  </w:style>
  <w:style w:type="character" w:styleId="Hyperlink">
    <w:name w:val="Hyperlink"/>
    <w:basedOn w:val="DefaultParagraphFont"/>
    <w:uiPriority w:val="99"/>
    <w:semiHidden/>
    <w:unhideWhenUsed/>
    <w:rsid w:val="001F2E44"/>
    <w:rPr>
      <w:color w:val="0000FF"/>
      <w:u w:val="single"/>
    </w:rPr>
  </w:style>
  <w:style w:type="character" w:customStyle="1" w:styleId="captionnumber">
    <w:name w:val="captionnumber"/>
    <w:basedOn w:val="DefaultParagraphFont"/>
    <w:rsid w:val="001F2E44"/>
  </w:style>
  <w:style w:type="paragraph" w:customStyle="1" w:styleId="simplepara">
    <w:name w:val="simplepara"/>
    <w:basedOn w:val="Normal"/>
    <w:rsid w:val="001F2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BB09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285"/>
    <w:rPr>
      <w:rFonts w:ascii="Segoe UI" w:hAnsi="Segoe UI" w:cs="Segoe UI"/>
      <w:sz w:val="18"/>
      <w:szCs w:val="18"/>
    </w:rPr>
  </w:style>
  <w:style w:type="character" w:styleId="CommentReference">
    <w:name w:val="annotation reference"/>
    <w:basedOn w:val="DefaultParagraphFont"/>
    <w:uiPriority w:val="99"/>
    <w:semiHidden/>
    <w:unhideWhenUsed/>
    <w:rsid w:val="00460A6F"/>
    <w:rPr>
      <w:sz w:val="16"/>
      <w:szCs w:val="16"/>
    </w:rPr>
  </w:style>
  <w:style w:type="paragraph" w:styleId="CommentText">
    <w:name w:val="annotation text"/>
    <w:basedOn w:val="Normal"/>
    <w:link w:val="CommentTextChar"/>
    <w:uiPriority w:val="99"/>
    <w:semiHidden/>
    <w:unhideWhenUsed/>
    <w:rsid w:val="00460A6F"/>
    <w:pPr>
      <w:spacing w:line="240" w:lineRule="auto"/>
    </w:pPr>
    <w:rPr>
      <w:sz w:val="20"/>
      <w:szCs w:val="20"/>
    </w:rPr>
  </w:style>
  <w:style w:type="character" w:customStyle="1" w:styleId="CommentTextChar">
    <w:name w:val="Comment Text Char"/>
    <w:basedOn w:val="DefaultParagraphFont"/>
    <w:link w:val="CommentText"/>
    <w:uiPriority w:val="99"/>
    <w:semiHidden/>
    <w:rsid w:val="00460A6F"/>
    <w:rPr>
      <w:sz w:val="20"/>
      <w:szCs w:val="20"/>
    </w:rPr>
  </w:style>
  <w:style w:type="paragraph" w:styleId="CommentSubject">
    <w:name w:val="annotation subject"/>
    <w:basedOn w:val="CommentText"/>
    <w:next w:val="CommentText"/>
    <w:link w:val="CommentSubjectChar"/>
    <w:uiPriority w:val="99"/>
    <w:semiHidden/>
    <w:unhideWhenUsed/>
    <w:rsid w:val="00460A6F"/>
    <w:rPr>
      <w:b/>
      <w:bCs/>
    </w:rPr>
  </w:style>
  <w:style w:type="character" w:customStyle="1" w:styleId="CommentSubjectChar">
    <w:name w:val="Comment Subject Char"/>
    <w:basedOn w:val="CommentTextChar"/>
    <w:link w:val="CommentSubject"/>
    <w:uiPriority w:val="99"/>
    <w:semiHidden/>
    <w:rsid w:val="00460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dc:creator>
  <cp:keywords/>
  <dc:description/>
  <cp:lastModifiedBy>Jim Hofferkamp</cp:lastModifiedBy>
  <cp:revision>3</cp:revision>
  <cp:lastPrinted>2017-01-10T15:01:00Z</cp:lastPrinted>
  <dcterms:created xsi:type="dcterms:W3CDTF">2017-01-20T19:09:00Z</dcterms:created>
  <dcterms:modified xsi:type="dcterms:W3CDTF">2017-01-20T19:12:00Z</dcterms:modified>
</cp:coreProperties>
</file>