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A4" w:rsidRDefault="00105FA4" w:rsidP="00105FA4">
      <w:pPr>
        <w:pStyle w:val="Heading1"/>
      </w:pPr>
      <w:r>
        <w:t>Quiz 1</w:t>
      </w:r>
    </w:p>
    <w:p w:rsidR="00105FA4" w:rsidRPr="00105FA4" w:rsidRDefault="00105FA4" w:rsidP="00105FA4"/>
    <w:p w:rsidR="00105FA4" w:rsidRPr="00382269" w:rsidRDefault="00105FA4" w:rsidP="00105F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For the purposes of coding:</w:t>
      </w:r>
    </w:p>
    <w:p w:rsidR="00105FA4" w:rsidRPr="00382269" w:rsidRDefault="00105FA4" w:rsidP="00105F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The pancreas is broken down into head, neck, body, and tail</w:t>
      </w:r>
    </w:p>
    <w:p w:rsidR="00105FA4" w:rsidRPr="00382269" w:rsidRDefault="00105FA4" w:rsidP="00105F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The pancreas is broken down into head, body, and tail</w:t>
      </w:r>
    </w:p>
    <w:p w:rsidR="00105FA4" w:rsidRPr="00F22215" w:rsidRDefault="00105FA4" w:rsidP="00105F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F22215">
        <w:rPr>
          <w:rFonts w:asciiTheme="minorHAnsi" w:hAnsiTheme="minorHAnsi" w:cstheme="minorHAnsi"/>
          <w:b/>
          <w:bCs/>
        </w:rPr>
        <w:t>The pancreas is broken down into head, body, tail, pancreatic duct, and islet of Langerhans</w:t>
      </w:r>
    </w:p>
    <w:p w:rsidR="00105FA4" w:rsidRPr="00382269" w:rsidRDefault="00105FA4" w:rsidP="00105FA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Cancer in the Islets cells is denoted as an histologic code, not a topology code</w:t>
      </w:r>
    </w:p>
    <w:p w:rsidR="00105FA4" w:rsidRPr="00382269" w:rsidRDefault="00105FA4" w:rsidP="00105FA4">
      <w:pPr>
        <w:pStyle w:val="ListParagraph"/>
        <w:ind w:left="1080"/>
        <w:rPr>
          <w:rFonts w:asciiTheme="minorHAnsi" w:hAnsiTheme="minorHAnsi" w:cstheme="minorHAnsi"/>
        </w:rPr>
      </w:pPr>
    </w:p>
    <w:p w:rsidR="00105FA4" w:rsidRPr="00382269" w:rsidRDefault="00105FA4" w:rsidP="00105F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The location of the pancreas makes surgery fairly straightforward, making most patients good surgical candidates</w:t>
      </w:r>
    </w:p>
    <w:p w:rsidR="00105FA4" w:rsidRPr="00382269" w:rsidRDefault="00105FA4" w:rsidP="00105FA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True</w:t>
      </w:r>
    </w:p>
    <w:p w:rsidR="00105FA4" w:rsidRPr="00F22215" w:rsidRDefault="00105FA4" w:rsidP="00105FA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F22215">
        <w:rPr>
          <w:rFonts w:asciiTheme="minorHAnsi" w:hAnsiTheme="minorHAnsi" w:cstheme="minorHAnsi"/>
          <w:b/>
        </w:rPr>
        <w:t>False</w:t>
      </w:r>
    </w:p>
    <w:p w:rsidR="00105FA4" w:rsidRPr="00382269" w:rsidRDefault="00105FA4" w:rsidP="00105FA4">
      <w:pPr>
        <w:pStyle w:val="ListParagraph"/>
        <w:rPr>
          <w:rFonts w:asciiTheme="minorHAnsi" w:hAnsiTheme="minorHAnsi" w:cstheme="minorHAnsi"/>
        </w:rPr>
      </w:pPr>
    </w:p>
    <w:p w:rsidR="00105FA4" w:rsidRPr="00382269" w:rsidRDefault="00105FA4" w:rsidP="00105F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Some lymph nodes may be considered regional if a pancreatic tumor arises</w:t>
      </w:r>
      <w:r w:rsidR="000F143B">
        <w:rPr>
          <w:rFonts w:asciiTheme="minorHAnsi" w:hAnsiTheme="minorHAnsi" w:cstheme="minorHAnsi"/>
        </w:rPr>
        <w:t xml:space="preserve"> in</w:t>
      </w:r>
      <w:r w:rsidRPr="00382269">
        <w:rPr>
          <w:rFonts w:asciiTheme="minorHAnsi" w:hAnsiTheme="minorHAnsi" w:cstheme="minorHAnsi"/>
        </w:rPr>
        <w:t xml:space="preserve"> the head of the pancreas, but distant if the tumor arises in the tail of the pancreas.</w:t>
      </w:r>
    </w:p>
    <w:p w:rsidR="00105FA4" w:rsidRPr="00F22215" w:rsidRDefault="00105FA4" w:rsidP="00105FA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F22215">
        <w:rPr>
          <w:rFonts w:asciiTheme="minorHAnsi" w:hAnsiTheme="minorHAnsi" w:cstheme="minorHAnsi"/>
          <w:b/>
          <w:bCs/>
        </w:rPr>
        <w:t>True</w:t>
      </w:r>
    </w:p>
    <w:p w:rsidR="00105FA4" w:rsidRPr="00382269" w:rsidRDefault="00105FA4" w:rsidP="00105FA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  <w:bCs/>
        </w:rPr>
        <w:t>False</w:t>
      </w:r>
    </w:p>
    <w:p w:rsidR="00105FA4" w:rsidRPr="00382269" w:rsidRDefault="00105FA4" w:rsidP="00105FA4">
      <w:pPr>
        <w:pStyle w:val="ListParagraph"/>
        <w:rPr>
          <w:rFonts w:asciiTheme="minorHAnsi" w:hAnsiTheme="minorHAnsi" w:cstheme="minorHAnsi"/>
        </w:rPr>
      </w:pPr>
    </w:p>
    <w:p w:rsidR="00105FA4" w:rsidRPr="00382269" w:rsidRDefault="00105FA4" w:rsidP="00105F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Because a person can live without a fully functioning pancreas, most pancreatic cancer patients ultimately die from liver failure.</w:t>
      </w:r>
    </w:p>
    <w:p w:rsidR="00105FA4" w:rsidRPr="00F22215" w:rsidRDefault="00105FA4" w:rsidP="00105FA4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F22215">
        <w:rPr>
          <w:rFonts w:asciiTheme="minorHAnsi" w:hAnsiTheme="minorHAnsi" w:cstheme="minorHAnsi"/>
          <w:b/>
          <w:bCs/>
        </w:rPr>
        <w:t>True</w:t>
      </w:r>
    </w:p>
    <w:p w:rsidR="00105FA4" w:rsidRPr="00382269" w:rsidRDefault="00105FA4" w:rsidP="00105FA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  <w:bCs/>
        </w:rPr>
        <w:t>False</w:t>
      </w:r>
    </w:p>
    <w:p w:rsidR="00105FA4" w:rsidRPr="00382269" w:rsidRDefault="00105FA4" w:rsidP="00105FA4">
      <w:pPr>
        <w:pStyle w:val="ListParagraph"/>
        <w:rPr>
          <w:rFonts w:asciiTheme="minorHAnsi" w:hAnsiTheme="minorHAnsi" w:cstheme="minorHAnsi"/>
        </w:rPr>
      </w:pPr>
    </w:p>
    <w:p w:rsidR="00105FA4" w:rsidRPr="00382269" w:rsidRDefault="00105FA4" w:rsidP="00105F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Pancreatic cancer is:</w:t>
      </w:r>
    </w:p>
    <w:p w:rsidR="00105FA4" w:rsidRPr="00382269" w:rsidRDefault="00105FA4" w:rsidP="00105FA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The most common cancer among black men</w:t>
      </w:r>
    </w:p>
    <w:p w:rsidR="00105FA4" w:rsidRPr="00382269" w:rsidRDefault="00105FA4" w:rsidP="00105FA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Has decreasing incidence</w:t>
      </w:r>
    </w:p>
    <w:p w:rsidR="00105FA4" w:rsidRPr="00F22215" w:rsidRDefault="00105FA4" w:rsidP="00105FA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F22215">
        <w:rPr>
          <w:rFonts w:asciiTheme="minorHAnsi" w:hAnsiTheme="minorHAnsi" w:cstheme="minorHAnsi"/>
          <w:b/>
          <w:bCs/>
        </w:rPr>
        <w:t>Is the 4</w:t>
      </w:r>
      <w:r w:rsidRPr="00F22215">
        <w:rPr>
          <w:rFonts w:asciiTheme="minorHAnsi" w:hAnsiTheme="minorHAnsi" w:cstheme="minorHAnsi"/>
          <w:b/>
          <w:bCs/>
          <w:vertAlign w:val="superscript"/>
        </w:rPr>
        <w:t>th</w:t>
      </w:r>
      <w:r w:rsidRPr="00F22215">
        <w:rPr>
          <w:rFonts w:asciiTheme="minorHAnsi" w:hAnsiTheme="minorHAnsi" w:cstheme="minorHAnsi"/>
          <w:b/>
          <w:bCs/>
        </w:rPr>
        <w:t xml:space="preserve"> most common cause of cancer death in the US</w:t>
      </w:r>
    </w:p>
    <w:p w:rsidR="00105FA4" w:rsidRPr="00382269" w:rsidRDefault="00105FA4" w:rsidP="00105FA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82269">
        <w:rPr>
          <w:rFonts w:asciiTheme="minorHAnsi" w:hAnsiTheme="minorHAnsi" w:cstheme="minorHAnsi"/>
        </w:rPr>
        <w:t>Is highly curable</w:t>
      </w:r>
    </w:p>
    <w:p w:rsidR="00105FA4" w:rsidRPr="00382269" w:rsidRDefault="00105FA4">
      <w:pPr>
        <w:rPr>
          <w:rFonts w:cstheme="minorHAnsi"/>
        </w:rPr>
      </w:pPr>
      <w:r w:rsidRPr="00382269">
        <w:rPr>
          <w:rFonts w:cstheme="minorHAnsi"/>
        </w:rPr>
        <w:br w:type="page"/>
      </w:r>
    </w:p>
    <w:p w:rsidR="00A20E04" w:rsidRDefault="00105FA4" w:rsidP="00105FA4">
      <w:pPr>
        <w:pStyle w:val="Heading1"/>
      </w:pPr>
      <w:r>
        <w:lastRenderedPageBreak/>
        <w:t>Quiz 2</w:t>
      </w:r>
    </w:p>
    <w:p w:rsidR="00C4509C" w:rsidRPr="00C4509C" w:rsidRDefault="00C4509C" w:rsidP="00C4509C">
      <w:r>
        <w:t>You will need to your AJCC 8</w:t>
      </w:r>
      <w:r w:rsidRPr="00C4509C">
        <w:rPr>
          <w:vertAlign w:val="superscript"/>
        </w:rPr>
        <w:t>th</w:t>
      </w:r>
      <w:r>
        <w:t xml:space="preserve"> edition manual or staging forms and the draft radiation codes to complete this quiz. The codes for Grade are below the worksheet. This patient was diagnosed in 2018.</w:t>
      </w:r>
    </w:p>
    <w:p w:rsidR="00E822EE" w:rsidRDefault="00E822EE" w:rsidP="00105FA4"/>
    <w:p w:rsidR="00C4509C" w:rsidRDefault="00C4509C" w:rsidP="00C4509C">
      <w:pPr>
        <w:pStyle w:val="Heading2"/>
      </w:pPr>
      <w:r>
        <w:t>Scenario</w:t>
      </w:r>
    </w:p>
    <w:p w:rsidR="00105FA4" w:rsidRDefault="00105FA4" w:rsidP="00105FA4">
      <w:r>
        <w:t>A patient with a history of urothelial carcinoma of the bladder had an A</w:t>
      </w:r>
      <w:r w:rsidR="00E822EE">
        <w:t xml:space="preserve">/P CT and was </w:t>
      </w:r>
      <w:r>
        <w:t xml:space="preserve">found to have a </w:t>
      </w:r>
      <w:r w:rsidRPr="00105FA4">
        <w:t>2.8 cm ovoid mass within the pancreatic tail is worrisome for a primary pancreatic neoplasm</w:t>
      </w:r>
      <w:r>
        <w:t xml:space="preserve">. </w:t>
      </w:r>
      <w:r w:rsidRPr="00105FA4">
        <w:t xml:space="preserve">There is no hydronephrosis. No enlarged upper abdominal lymph nodes. There is no abdominal ascites.  </w:t>
      </w:r>
      <w:r w:rsidR="00E822EE">
        <w:t>The patient went on to have an</w:t>
      </w:r>
      <w:r w:rsidR="003134B9">
        <w:t xml:space="preserve"> endoscopic ultrasound</w:t>
      </w:r>
      <w:r w:rsidR="00E822EE">
        <w:t xml:space="preserve"> that </w:t>
      </w:r>
      <w:r w:rsidR="00A46E12">
        <w:t xml:space="preserve">showed </w:t>
      </w:r>
      <w:r w:rsidR="00A46E12" w:rsidRPr="00E822EE">
        <w:t>was</w:t>
      </w:r>
      <w:r w:rsidR="00E822EE" w:rsidRPr="00E822EE">
        <w:t xml:space="preserve"> a 21 x 25-mm round well-</w:t>
      </w:r>
      <w:proofErr w:type="spellStart"/>
      <w:r w:rsidR="00E822EE" w:rsidRPr="00E822EE">
        <w:t>circumferenced</w:t>
      </w:r>
      <w:proofErr w:type="spellEnd"/>
      <w:r w:rsidR="00E822EE" w:rsidRPr="00E822EE">
        <w:t xml:space="preserve"> lesion in the tail of the pancreas which was hypoechoic without cystic component.  </w:t>
      </w:r>
      <w:r w:rsidR="003134B9">
        <w:t xml:space="preserve">Four samples </w:t>
      </w:r>
      <w:r w:rsidR="00E822EE" w:rsidRPr="00E822EE">
        <w:t xml:space="preserve">were </w:t>
      </w:r>
      <w:r w:rsidR="003134B9">
        <w:t xml:space="preserve">taken </w:t>
      </w:r>
      <w:r w:rsidR="00E822EE" w:rsidRPr="00E822EE">
        <w:t>for pathological and cytologi</w:t>
      </w:r>
      <w:r w:rsidR="007E7AAC">
        <w:t>cal diagnosis.  No</w:t>
      </w:r>
      <w:r w:rsidR="00E822EE" w:rsidRPr="00E822EE">
        <w:t xml:space="preserve"> lymphadenopathy or </w:t>
      </w:r>
      <w:r w:rsidR="007E7AAC">
        <w:t xml:space="preserve">additional </w:t>
      </w:r>
      <w:r w:rsidR="00E822EE" w:rsidRPr="00E822EE">
        <w:t>mass was seen.</w:t>
      </w:r>
      <w:r w:rsidR="00E822EE">
        <w:t xml:space="preserve"> Pathology from the FNA was positive for adenocarcinoma.</w:t>
      </w:r>
    </w:p>
    <w:p w:rsidR="00E822EE" w:rsidRDefault="00E822EE" w:rsidP="00105FA4">
      <w:r>
        <w:t>The patient went to have an o</w:t>
      </w:r>
      <w:r w:rsidRPr="00E822EE">
        <w:t xml:space="preserve">pen distal pancreatectomy, splenectomy, </w:t>
      </w:r>
      <w:r>
        <w:t xml:space="preserve">and </w:t>
      </w:r>
      <w:proofErr w:type="spellStart"/>
      <w:r w:rsidRPr="00E822EE">
        <w:t>omentectomy</w:t>
      </w:r>
      <w:proofErr w:type="spellEnd"/>
      <w:r>
        <w:t>. Pathology from this procedure are below.</w:t>
      </w:r>
    </w:p>
    <w:p w:rsidR="00E822EE" w:rsidRDefault="00E822EE" w:rsidP="00105FA4">
      <w:r>
        <w:rPr>
          <w:noProof/>
        </w:rPr>
        <w:drawing>
          <wp:inline distT="0" distB="0" distL="0" distR="0" wp14:anchorId="2DC877CC" wp14:editId="7EA89BB5">
            <wp:extent cx="5943600" cy="2667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626"/>
                    <a:stretch/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22EE" w:rsidRDefault="00E822EE" w:rsidP="00105FA4">
      <w:r>
        <w:t>The patient had adjuvant chemotherapy and radiation.</w:t>
      </w:r>
    </w:p>
    <w:p w:rsidR="00E822EE" w:rsidRPr="00495668" w:rsidRDefault="00E822EE" w:rsidP="00E822EE">
      <w:pPr>
        <w:spacing w:after="0" w:line="276" w:lineRule="auto"/>
        <w:rPr>
          <w:rFonts w:ascii="Calibri" w:eastAsia="Times New Roman" w:hAnsi="Calibri" w:cs="Times New Roman"/>
          <w:b/>
          <w:u w:val="single"/>
        </w:rPr>
      </w:pPr>
      <w:r w:rsidRPr="00495668">
        <w:rPr>
          <w:rFonts w:ascii="Calibri" w:eastAsia="Times New Roman" w:hAnsi="Calibri" w:cs="Times New Roman"/>
          <w:b/>
          <w:u w:val="single"/>
        </w:rPr>
        <w:t>Radiation with concurrent Xeloda</w:t>
      </w:r>
    </w:p>
    <w:p w:rsidR="00E822EE" w:rsidRDefault="00E822EE" w:rsidP="00E822EE">
      <w:pPr>
        <w:spacing w:after="0" w:line="276" w:lineRule="auto"/>
        <w:rPr>
          <w:rFonts w:ascii="Calibri" w:eastAsia="Times New Roman" w:hAnsi="Calibri" w:cs="Times New Roman"/>
        </w:rPr>
      </w:pPr>
    </w:p>
    <w:p w:rsidR="00E822EE" w:rsidRPr="00A372BF" w:rsidRDefault="00E822EE" w:rsidP="00E822E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sz w:val="22"/>
          <w:szCs w:val="22"/>
        </w:rPr>
      </w:pPr>
      <w:r w:rsidRPr="00A372BF">
        <w:rPr>
          <w:rFonts w:asciiTheme="minorHAnsi" w:hAnsiTheme="minorHAnsi"/>
          <w:b/>
          <w:bCs/>
          <w:sz w:val="22"/>
          <w:szCs w:val="22"/>
        </w:rPr>
        <w:t>TREATMENT DELIVERED:</w:t>
      </w:r>
      <w:r w:rsidRPr="00A372BF">
        <w:rPr>
          <w:rFonts w:asciiTheme="minorHAnsi" w:hAnsiTheme="minorHAnsi"/>
          <w:sz w:val="22"/>
          <w:szCs w:val="22"/>
        </w:rPr>
        <w:t xml:space="preserve">  A total dose of 5040 cGy was delivered in 28 fractions of 180 cGy directed to the patient’s tumor bed and regional lymphatics.  Treatment was with a 10 MeV photon IMRT treatment plan.  Treatment followed a CT simulation, which was used for treatment planning purposes.  The patient’s treatment began of 5/10 and concluded 6/26 for a total of 47 days elapsed. Her treatment was delivered with concurrent Xeloda under medical oncology’s direction.  </w:t>
      </w:r>
    </w:p>
    <w:p w:rsidR="00E822EE" w:rsidRDefault="00E822EE" w:rsidP="00E822EE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:rsidR="00E822EE" w:rsidRPr="00A372BF" w:rsidRDefault="00E822EE" w:rsidP="00E822EE">
      <w:pPr>
        <w:spacing w:after="0" w:line="276" w:lineRule="auto"/>
        <w:rPr>
          <w:rFonts w:ascii="Calibri" w:eastAsia="Times New Roman" w:hAnsi="Calibri" w:cs="Times New Roman"/>
        </w:rPr>
      </w:pPr>
    </w:p>
    <w:p w:rsidR="00E822EE" w:rsidRDefault="00E822EE">
      <w:r>
        <w:br w:type="page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05"/>
        <w:gridCol w:w="270"/>
        <w:gridCol w:w="452"/>
        <w:gridCol w:w="538"/>
        <w:gridCol w:w="1350"/>
        <w:gridCol w:w="630"/>
        <w:gridCol w:w="90"/>
        <w:gridCol w:w="720"/>
        <w:gridCol w:w="360"/>
        <w:gridCol w:w="897"/>
        <w:gridCol w:w="1353"/>
        <w:gridCol w:w="90"/>
        <w:gridCol w:w="895"/>
      </w:tblGrid>
      <w:tr w:rsidR="00877EC2" w:rsidRPr="00D307BF" w:rsidTr="00877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3"/>
          </w:tcPr>
          <w:p w:rsidR="00877EC2" w:rsidRDefault="00877EC2" w:rsidP="003134B9">
            <w:pPr>
              <w:jc w:val="center"/>
              <w:rPr>
                <w:color w:val="44546A" w:themeColor="text2"/>
              </w:rPr>
            </w:pPr>
            <w:r>
              <w:rPr>
                <w:color w:val="44546A" w:themeColor="text2"/>
              </w:rPr>
              <w:lastRenderedPageBreak/>
              <w:t>Grade</w:t>
            </w:r>
          </w:p>
        </w:tc>
      </w:tr>
      <w:tr w:rsidR="00877EC2" w:rsidRPr="00D307BF" w:rsidTr="008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gridSpan w:val="2"/>
          </w:tcPr>
          <w:p w:rsidR="00877EC2" w:rsidRPr="00F22215" w:rsidRDefault="00877EC2" w:rsidP="003134B9">
            <w:pPr>
              <w:jc w:val="center"/>
              <w:rPr>
                <w:b w:val="0"/>
              </w:rPr>
            </w:pPr>
            <w:r w:rsidRPr="00F22215">
              <w:rPr>
                <w:b w:val="0"/>
              </w:rPr>
              <w:t>Clinical Grade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877EC2" w:rsidRPr="00F22215" w:rsidRDefault="00F22215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22215">
              <w:rPr>
                <w:bCs/>
              </w:rPr>
              <w:t>9</w:t>
            </w:r>
          </w:p>
        </w:tc>
        <w:tc>
          <w:tcPr>
            <w:tcW w:w="2070" w:type="dxa"/>
            <w:gridSpan w:val="3"/>
          </w:tcPr>
          <w:p w:rsidR="00877EC2" w:rsidRPr="00F22215" w:rsidRDefault="00877EC2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22215">
              <w:rPr>
                <w:bCs/>
              </w:rPr>
              <w:t>Pathological Grade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877EC2" w:rsidRPr="00F22215" w:rsidRDefault="00F22215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22215">
              <w:rPr>
                <w:bCs/>
              </w:rPr>
              <w:t>2</w:t>
            </w:r>
          </w:p>
        </w:tc>
        <w:tc>
          <w:tcPr>
            <w:tcW w:w="2340" w:type="dxa"/>
            <w:gridSpan w:val="3"/>
          </w:tcPr>
          <w:p w:rsidR="00877EC2" w:rsidRPr="00F22215" w:rsidRDefault="00877EC2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F22215">
              <w:rPr>
                <w:bCs/>
              </w:rPr>
              <w:t>Post-therapy Grade</w:t>
            </w:r>
          </w:p>
        </w:tc>
        <w:tc>
          <w:tcPr>
            <w:tcW w:w="895" w:type="dxa"/>
            <w:shd w:val="clear" w:color="auto" w:fill="FFFFFF" w:themeFill="background1"/>
          </w:tcPr>
          <w:p w:rsidR="00877EC2" w:rsidRDefault="00877EC2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4546A" w:themeColor="text2"/>
              </w:rPr>
            </w:pPr>
          </w:p>
        </w:tc>
      </w:tr>
      <w:tr w:rsidR="00877EC2" w:rsidRPr="00D307BF" w:rsidTr="00864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3"/>
          </w:tcPr>
          <w:p w:rsidR="00877EC2" w:rsidRDefault="00877EC2" w:rsidP="003134B9">
            <w:pPr>
              <w:jc w:val="center"/>
              <w:rPr>
                <w:color w:val="44546A" w:themeColor="text2"/>
              </w:rPr>
            </w:pPr>
          </w:p>
        </w:tc>
      </w:tr>
      <w:tr w:rsidR="003134B9" w:rsidRPr="00D307BF" w:rsidTr="0056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3"/>
          </w:tcPr>
          <w:p w:rsidR="003134B9" w:rsidRPr="003134B9" w:rsidRDefault="003134B9" w:rsidP="003134B9">
            <w:pPr>
              <w:jc w:val="center"/>
              <w:rPr>
                <w:color w:val="44546A" w:themeColor="text2"/>
              </w:rPr>
            </w:pPr>
            <w:r>
              <w:rPr>
                <w:color w:val="44546A" w:themeColor="text2"/>
              </w:rPr>
              <w:t>AJCC Staging</w:t>
            </w:r>
          </w:p>
        </w:tc>
      </w:tr>
      <w:tr w:rsidR="00877EC2" w:rsidRPr="00D307BF" w:rsidTr="00877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3134B9" w:rsidRDefault="003134B9" w:rsidP="003134B9">
            <w:pPr>
              <w:jc w:val="center"/>
              <w:rPr>
                <w:b w:val="0"/>
                <w:color w:val="44546A" w:themeColor="text2"/>
              </w:rPr>
            </w:pPr>
            <w:r w:rsidRPr="003134B9">
              <w:rPr>
                <w:b w:val="0"/>
                <w:color w:val="44546A" w:themeColor="text2"/>
              </w:rPr>
              <w:t>Data Item</w:t>
            </w:r>
          </w:p>
        </w:tc>
        <w:tc>
          <w:tcPr>
            <w:tcW w:w="722" w:type="dxa"/>
            <w:gridSpan w:val="2"/>
          </w:tcPr>
          <w:p w:rsidR="003134B9" w:rsidRPr="003134B9" w:rsidRDefault="003134B9" w:rsidP="00313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3134B9">
              <w:rPr>
                <w:color w:val="44546A" w:themeColor="text2"/>
              </w:rPr>
              <w:t>Value</w:t>
            </w:r>
          </w:p>
        </w:tc>
        <w:tc>
          <w:tcPr>
            <w:tcW w:w="2518" w:type="dxa"/>
            <w:gridSpan w:val="3"/>
          </w:tcPr>
          <w:p w:rsidR="003134B9" w:rsidRPr="003134B9" w:rsidRDefault="003134B9" w:rsidP="00313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3134B9">
              <w:rPr>
                <w:color w:val="44546A" w:themeColor="text2"/>
              </w:rPr>
              <w:t>Data Item</w:t>
            </w:r>
          </w:p>
        </w:tc>
        <w:tc>
          <w:tcPr>
            <w:tcW w:w="810" w:type="dxa"/>
            <w:gridSpan w:val="2"/>
          </w:tcPr>
          <w:p w:rsidR="003134B9" w:rsidRPr="003134B9" w:rsidRDefault="003134B9" w:rsidP="00313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3134B9">
              <w:rPr>
                <w:color w:val="44546A" w:themeColor="text2"/>
              </w:rPr>
              <w:t>Value</w:t>
            </w:r>
          </w:p>
        </w:tc>
        <w:tc>
          <w:tcPr>
            <w:tcW w:w="2610" w:type="dxa"/>
            <w:gridSpan w:val="3"/>
          </w:tcPr>
          <w:p w:rsidR="003134B9" w:rsidRPr="003134B9" w:rsidRDefault="003134B9" w:rsidP="00313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3134B9">
              <w:rPr>
                <w:color w:val="44546A" w:themeColor="text2"/>
              </w:rPr>
              <w:t>Data Item</w:t>
            </w:r>
          </w:p>
        </w:tc>
        <w:tc>
          <w:tcPr>
            <w:tcW w:w="985" w:type="dxa"/>
            <w:gridSpan w:val="2"/>
          </w:tcPr>
          <w:p w:rsidR="003134B9" w:rsidRPr="003134B9" w:rsidRDefault="003134B9" w:rsidP="00313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546A" w:themeColor="text2"/>
              </w:rPr>
            </w:pPr>
            <w:r w:rsidRPr="003134B9">
              <w:rPr>
                <w:color w:val="44546A" w:themeColor="text2"/>
              </w:rPr>
              <w:t>Value</w:t>
            </w:r>
          </w:p>
        </w:tc>
      </w:tr>
      <w:tr w:rsidR="00877EC2" w:rsidRPr="00D307BF" w:rsidTr="008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Clinical T</w:t>
            </w:r>
          </w:p>
        </w:tc>
        <w:tc>
          <w:tcPr>
            <w:tcW w:w="722" w:type="dxa"/>
            <w:gridSpan w:val="2"/>
          </w:tcPr>
          <w:p w:rsidR="003134B9" w:rsidRPr="00D307BF" w:rsidRDefault="00F2221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cT2</w:t>
            </w:r>
          </w:p>
        </w:tc>
        <w:tc>
          <w:tcPr>
            <w:tcW w:w="2518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07BF">
              <w:t>Pathologic T</w:t>
            </w:r>
          </w:p>
        </w:tc>
        <w:tc>
          <w:tcPr>
            <w:tcW w:w="810" w:type="dxa"/>
            <w:gridSpan w:val="2"/>
          </w:tcPr>
          <w:p w:rsidR="003134B9" w:rsidRPr="00F22215" w:rsidRDefault="00F22215" w:rsidP="00F22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2215">
              <w:t>pT2</w:t>
            </w:r>
          </w:p>
        </w:tc>
        <w:tc>
          <w:tcPr>
            <w:tcW w:w="2610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Post-therapy</w:t>
            </w:r>
            <w:r w:rsidRPr="00D307BF">
              <w:t xml:space="preserve"> T</w:t>
            </w:r>
          </w:p>
        </w:tc>
        <w:tc>
          <w:tcPr>
            <w:tcW w:w="985" w:type="dxa"/>
            <w:gridSpan w:val="2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EC2" w:rsidRPr="00D307BF" w:rsidTr="00877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Clinical T Suffix</w:t>
            </w:r>
          </w:p>
        </w:tc>
        <w:tc>
          <w:tcPr>
            <w:tcW w:w="722" w:type="dxa"/>
            <w:gridSpan w:val="2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  <w:gridSpan w:val="3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7BF">
              <w:t>Pathologic T Suffix</w:t>
            </w:r>
          </w:p>
        </w:tc>
        <w:tc>
          <w:tcPr>
            <w:tcW w:w="810" w:type="dxa"/>
            <w:gridSpan w:val="2"/>
          </w:tcPr>
          <w:p w:rsidR="003134B9" w:rsidRPr="00F22215" w:rsidRDefault="003134B9" w:rsidP="00F22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  <w:gridSpan w:val="3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34B9">
              <w:t xml:space="preserve">Post-therapy </w:t>
            </w:r>
            <w:r w:rsidRPr="00D307BF">
              <w:t>T Suffix</w:t>
            </w:r>
          </w:p>
        </w:tc>
        <w:tc>
          <w:tcPr>
            <w:tcW w:w="985" w:type="dxa"/>
            <w:gridSpan w:val="2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7EC2" w:rsidRPr="00D307BF" w:rsidTr="008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Clinical N</w:t>
            </w:r>
          </w:p>
        </w:tc>
        <w:tc>
          <w:tcPr>
            <w:tcW w:w="722" w:type="dxa"/>
            <w:gridSpan w:val="2"/>
          </w:tcPr>
          <w:p w:rsidR="003134B9" w:rsidRPr="00D307BF" w:rsidRDefault="00F2221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cN0</w:t>
            </w:r>
          </w:p>
        </w:tc>
        <w:tc>
          <w:tcPr>
            <w:tcW w:w="2518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07BF">
              <w:t>Pathologic N</w:t>
            </w:r>
          </w:p>
        </w:tc>
        <w:tc>
          <w:tcPr>
            <w:tcW w:w="810" w:type="dxa"/>
            <w:gridSpan w:val="2"/>
          </w:tcPr>
          <w:p w:rsidR="003134B9" w:rsidRPr="00F22215" w:rsidRDefault="00F22215" w:rsidP="00F22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2215">
              <w:t>pN1</w:t>
            </w:r>
          </w:p>
        </w:tc>
        <w:tc>
          <w:tcPr>
            <w:tcW w:w="2610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134B9">
              <w:t xml:space="preserve">Post-therapy </w:t>
            </w:r>
            <w:r w:rsidRPr="00D307BF">
              <w:t>N</w:t>
            </w:r>
          </w:p>
        </w:tc>
        <w:tc>
          <w:tcPr>
            <w:tcW w:w="985" w:type="dxa"/>
            <w:gridSpan w:val="2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EC2" w:rsidRPr="00D307BF" w:rsidTr="00877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Clinical N Suffix</w:t>
            </w:r>
          </w:p>
        </w:tc>
        <w:tc>
          <w:tcPr>
            <w:tcW w:w="722" w:type="dxa"/>
            <w:gridSpan w:val="2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8" w:type="dxa"/>
            <w:gridSpan w:val="3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07BF">
              <w:t>Pathologic N Suffix</w:t>
            </w:r>
          </w:p>
        </w:tc>
        <w:tc>
          <w:tcPr>
            <w:tcW w:w="810" w:type="dxa"/>
            <w:gridSpan w:val="2"/>
          </w:tcPr>
          <w:p w:rsidR="003134B9" w:rsidRPr="00F22215" w:rsidRDefault="003134B9" w:rsidP="00F22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  <w:gridSpan w:val="3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Post-therapy</w:t>
            </w:r>
            <w:r w:rsidRPr="00D307BF">
              <w:t xml:space="preserve"> N Suffix</w:t>
            </w:r>
          </w:p>
        </w:tc>
        <w:tc>
          <w:tcPr>
            <w:tcW w:w="985" w:type="dxa"/>
            <w:gridSpan w:val="2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7EC2" w:rsidRPr="00D307BF" w:rsidTr="008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Clinical M</w:t>
            </w:r>
          </w:p>
        </w:tc>
        <w:tc>
          <w:tcPr>
            <w:tcW w:w="722" w:type="dxa"/>
            <w:gridSpan w:val="2"/>
          </w:tcPr>
          <w:p w:rsidR="003134B9" w:rsidRPr="00D307BF" w:rsidRDefault="00F2221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cM0</w:t>
            </w:r>
          </w:p>
        </w:tc>
        <w:tc>
          <w:tcPr>
            <w:tcW w:w="2518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307BF">
              <w:t>Pathologic M</w:t>
            </w:r>
          </w:p>
        </w:tc>
        <w:tc>
          <w:tcPr>
            <w:tcW w:w="810" w:type="dxa"/>
            <w:gridSpan w:val="2"/>
          </w:tcPr>
          <w:p w:rsidR="003134B9" w:rsidRPr="00F22215" w:rsidRDefault="00F22215" w:rsidP="00F22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2215">
              <w:t>cM0</w:t>
            </w:r>
          </w:p>
        </w:tc>
        <w:tc>
          <w:tcPr>
            <w:tcW w:w="2610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Post-therapy</w:t>
            </w:r>
            <w:r w:rsidRPr="00D307BF">
              <w:t xml:space="preserve"> M</w:t>
            </w:r>
          </w:p>
        </w:tc>
        <w:tc>
          <w:tcPr>
            <w:tcW w:w="985" w:type="dxa"/>
            <w:gridSpan w:val="2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EC2" w:rsidRPr="00D307BF" w:rsidTr="00877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 xml:space="preserve">Clinical Stage </w:t>
            </w:r>
          </w:p>
        </w:tc>
        <w:tc>
          <w:tcPr>
            <w:tcW w:w="722" w:type="dxa"/>
            <w:gridSpan w:val="2"/>
          </w:tcPr>
          <w:p w:rsidR="003134B9" w:rsidRPr="00D307BF" w:rsidRDefault="00F22215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1B</w:t>
            </w:r>
          </w:p>
        </w:tc>
        <w:tc>
          <w:tcPr>
            <w:tcW w:w="2518" w:type="dxa"/>
            <w:gridSpan w:val="3"/>
          </w:tcPr>
          <w:p w:rsidR="003134B9" w:rsidRPr="00D307BF" w:rsidRDefault="00877EC2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Pathological </w:t>
            </w:r>
            <w:r w:rsidR="003134B9" w:rsidRPr="00D307BF">
              <w:t>Stage Group</w:t>
            </w:r>
          </w:p>
        </w:tc>
        <w:tc>
          <w:tcPr>
            <w:tcW w:w="810" w:type="dxa"/>
            <w:gridSpan w:val="2"/>
          </w:tcPr>
          <w:p w:rsidR="003134B9" w:rsidRPr="00F22215" w:rsidRDefault="00F22215" w:rsidP="00F22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2215">
              <w:t>2B</w:t>
            </w:r>
          </w:p>
        </w:tc>
        <w:tc>
          <w:tcPr>
            <w:tcW w:w="2610" w:type="dxa"/>
            <w:gridSpan w:val="3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Post-therapy</w:t>
            </w:r>
            <w:r w:rsidRPr="00D307BF">
              <w:t xml:space="preserve"> Stage Group</w:t>
            </w:r>
          </w:p>
        </w:tc>
        <w:tc>
          <w:tcPr>
            <w:tcW w:w="985" w:type="dxa"/>
            <w:gridSpan w:val="2"/>
          </w:tcPr>
          <w:p w:rsidR="003134B9" w:rsidRPr="00D307BF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4B9" w:rsidRPr="00D307BF" w:rsidTr="00877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134B9" w:rsidRPr="00D307BF" w:rsidRDefault="003134B9" w:rsidP="003134B9">
            <w:pPr>
              <w:rPr>
                <w:b w:val="0"/>
              </w:rPr>
            </w:pPr>
          </w:p>
        </w:tc>
        <w:tc>
          <w:tcPr>
            <w:tcW w:w="722" w:type="dxa"/>
            <w:gridSpan w:val="2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8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0" w:type="dxa"/>
            <w:gridSpan w:val="2"/>
          </w:tcPr>
          <w:p w:rsidR="003134B9" w:rsidRPr="003134B9" w:rsidRDefault="003134B9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4546A" w:themeColor="text2"/>
              </w:rPr>
            </w:pPr>
          </w:p>
        </w:tc>
        <w:tc>
          <w:tcPr>
            <w:tcW w:w="2610" w:type="dxa"/>
            <w:gridSpan w:val="3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85" w:type="dxa"/>
            <w:gridSpan w:val="2"/>
          </w:tcPr>
          <w:p w:rsidR="003134B9" w:rsidRPr="00D307BF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4B9" w:rsidRPr="00D307BF" w:rsidTr="008256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13"/>
          </w:tcPr>
          <w:p w:rsidR="003134B9" w:rsidRPr="00D307BF" w:rsidRDefault="003134B9" w:rsidP="003134B9">
            <w:pPr>
              <w:jc w:val="center"/>
            </w:pPr>
            <w:r w:rsidRPr="003134B9">
              <w:rPr>
                <w:color w:val="44546A" w:themeColor="text2"/>
              </w:rPr>
              <w:t>Radiation</w:t>
            </w:r>
          </w:p>
        </w:tc>
      </w:tr>
      <w:tr w:rsidR="00877EC2" w:rsidRPr="003134B9" w:rsidTr="003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/>
        </w:tc>
        <w:tc>
          <w:tcPr>
            <w:tcW w:w="1440" w:type="dxa"/>
            <w:gridSpan w:val="3"/>
          </w:tcPr>
          <w:p w:rsidR="003134B9" w:rsidRPr="003134B9" w:rsidRDefault="003134B9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</w:rPr>
            </w:pPr>
            <w:r w:rsidRPr="003134B9">
              <w:rPr>
                <w:b/>
                <w:color w:val="44546A" w:themeColor="text2"/>
              </w:rPr>
              <w:t>Phase 1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</w:rPr>
            </w:pPr>
            <w:r w:rsidRPr="003134B9">
              <w:rPr>
                <w:b/>
                <w:color w:val="44546A" w:themeColor="text2"/>
              </w:rPr>
              <w:t>Phase 2</w:t>
            </w: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546A" w:themeColor="text2"/>
              </w:rPr>
            </w:pPr>
            <w:r w:rsidRPr="003134B9">
              <w:rPr>
                <w:b/>
                <w:color w:val="44546A" w:themeColor="text2"/>
              </w:rPr>
              <w:t>Phase 3</w:t>
            </w:r>
          </w:p>
        </w:tc>
      </w:tr>
      <w:tr w:rsidR="00877EC2" w:rsidRPr="003134B9" w:rsidTr="003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Radiation Primary Treatment Volume</w:t>
            </w:r>
          </w:p>
        </w:tc>
        <w:tc>
          <w:tcPr>
            <w:tcW w:w="1440" w:type="dxa"/>
            <w:gridSpan w:val="3"/>
          </w:tcPr>
          <w:p w:rsidR="003134B9" w:rsidRPr="003134B9" w:rsidRDefault="00F22215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7EC2" w:rsidRPr="003134B9" w:rsidTr="003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Radiation Treatment Modality</w:t>
            </w:r>
          </w:p>
        </w:tc>
        <w:tc>
          <w:tcPr>
            <w:tcW w:w="1440" w:type="dxa"/>
            <w:gridSpan w:val="3"/>
          </w:tcPr>
          <w:p w:rsidR="003134B9" w:rsidRPr="003134B9" w:rsidRDefault="00F2221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EC2" w:rsidRPr="003134B9" w:rsidTr="003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Radiation to Draining Lymph Nodes</w:t>
            </w:r>
          </w:p>
        </w:tc>
        <w:tc>
          <w:tcPr>
            <w:tcW w:w="1440" w:type="dxa"/>
            <w:gridSpan w:val="3"/>
          </w:tcPr>
          <w:p w:rsidR="003134B9" w:rsidRPr="003134B9" w:rsidRDefault="00F22215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7EC2" w:rsidRPr="003134B9" w:rsidTr="003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External Beam Radiation Planning Technique</w:t>
            </w:r>
          </w:p>
        </w:tc>
        <w:tc>
          <w:tcPr>
            <w:tcW w:w="1440" w:type="dxa"/>
            <w:gridSpan w:val="3"/>
          </w:tcPr>
          <w:p w:rsidR="003134B9" w:rsidRPr="003134B9" w:rsidRDefault="00F2221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EC2" w:rsidRPr="003134B9" w:rsidTr="003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Dose per Fraction</w:t>
            </w:r>
          </w:p>
        </w:tc>
        <w:tc>
          <w:tcPr>
            <w:tcW w:w="1440" w:type="dxa"/>
            <w:gridSpan w:val="3"/>
          </w:tcPr>
          <w:p w:rsidR="003134B9" w:rsidRPr="003134B9" w:rsidRDefault="00F22215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00180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7EC2" w:rsidRPr="003134B9" w:rsidTr="003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Number of Fractions</w:t>
            </w:r>
          </w:p>
        </w:tc>
        <w:tc>
          <w:tcPr>
            <w:tcW w:w="1440" w:type="dxa"/>
            <w:gridSpan w:val="3"/>
          </w:tcPr>
          <w:p w:rsidR="003134B9" w:rsidRPr="003134B9" w:rsidRDefault="00F2221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028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EC2" w:rsidRPr="003134B9" w:rsidTr="003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Total Dose</w:t>
            </w:r>
            <w:r w:rsidR="00F22215">
              <w:rPr>
                <w:b w:val="0"/>
              </w:rPr>
              <w:t xml:space="preserve"> (per phase)</w:t>
            </w:r>
          </w:p>
        </w:tc>
        <w:tc>
          <w:tcPr>
            <w:tcW w:w="1440" w:type="dxa"/>
            <w:gridSpan w:val="3"/>
          </w:tcPr>
          <w:p w:rsidR="003134B9" w:rsidRPr="003134B9" w:rsidRDefault="00F22215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005040</w:t>
            </w:r>
          </w:p>
        </w:tc>
        <w:tc>
          <w:tcPr>
            <w:tcW w:w="1257" w:type="dxa"/>
            <w:gridSpan w:val="2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  <w:gridSpan w:val="3"/>
          </w:tcPr>
          <w:p w:rsidR="003134B9" w:rsidRPr="003134B9" w:rsidRDefault="003134B9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4B9" w:rsidRPr="003134B9" w:rsidTr="003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Number of Phases of Radiation Treatment to this Volume</w:t>
            </w:r>
          </w:p>
        </w:tc>
        <w:tc>
          <w:tcPr>
            <w:tcW w:w="5035" w:type="dxa"/>
            <w:gridSpan w:val="8"/>
          </w:tcPr>
          <w:p w:rsidR="003134B9" w:rsidRPr="003134B9" w:rsidRDefault="001A0E9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</w:tr>
      <w:tr w:rsidR="003134B9" w:rsidRPr="003134B9" w:rsidTr="003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Radiation Treatment Discontinued Early</w:t>
            </w:r>
          </w:p>
        </w:tc>
        <w:tc>
          <w:tcPr>
            <w:tcW w:w="5035" w:type="dxa"/>
            <w:gridSpan w:val="8"/>
          </w:tcPr>
          <w:p w:rsidR="003134B9" w:rsidRPr="003134B9" w:rsidRDefault="00F22215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</w:t>
            </w:r>
          </w:p>
        </w:tc>
      </w:tr>
      <w:tr w:rsidR="003134B9" w:rsidRPr="003134B9" w:rsidTr="00313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3134B9" w:rsidRPr="003134B9" w:rsidRDefault="003134B9" w:rsidP="003134B9">
            <w:pPr>
              <w:rPr>
                <w:b w:val="0"/>
              </w:rPr>
            </w:pPr>
            <w:r w:rsidRPr="003134B9">
              <w:rPr>
                <w:b w:val="0"/>
              </w:rPr>
              <w:t>Total Dose</w:t>
            </w:r>
          </w:p>
        </w:tc>
        <w:tc>
          <w:tcPr>
            <w:tcW w:w="5035" w:type="dxa"/>
            <w:gridSpan w:val="8"/>
          </w:tcPr>
          <w:p w:rsidR="003134B9" w:rsidRPr="003134B9" w:rsidRDefault="00F22215" w:rsidP="00313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005040</w:t>
            </w:r>
          </w:p>
        </w:tc>
      </w:tr>
      <w:tr w:rsidR="00877EC2" w:rsidRPr="003134B9" w:rsidTr="00313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gridSpan w:val="5"/>
          </w:tcPr>
          <w:p w:rsidR="00877EC2" w:rsidRPr="003134B9" w:rsidRDefault="00877EC2" w:rsidP="003134B9"/>
        </w:tc>
        <w:tc>
          <w:tcPr>
            <w:tcW w:w="5035" w:type="dxa"/>
            <w:gridSpan w:val="8"/>
          </w:tcPr>
          <w:p w:rsidR="00877EC2" w:rsidRPr="003134B9" w:rsidRDefault="00877EC2" w:rsidP="00313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66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2"/>
        <w:gridCol w:w="5220"/>
      </w:tblGrid>
      <w:tr w:rsidR="00877EC2" w:rsidRPr="00877EC2" w:rsidTr="00877EC2">
        <w:trPr>
          <w:trHeight w:val="165"/>
        </w:trPr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5050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7EC2" w:rsidRPr="00877EC2" w:rsidRDefault="00877EC2" w:rsidP="00877E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</w:rPr>
              <w:t xml:space="preserve">Grade </w:t>
            </w:r>
            <w:r w:rsidRPr="00877EC2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</w:rPr>
              <w:t>Code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5050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77EC2" w:rsidRPr="00877EC2" w:rsidRDefault="00877EC2" w:rsidP="00877EC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FFFFFF"/>
                <w:kern w:val="24"/>
                <w:sz w:val="20"/>
                <w:szCs w:val="20"/>
              </w:rPr>
              <w:t>Description</w:t>
            </w:r>
          </w:p>
        </w:tc>
      </w:tr>
      <w:tr w:rsidR="00877EC2" w:rsidRPr="00877EC2" w:rsidTr="00877EC2"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G1: Well differentiated</w:t>
            </w:r>
          </w:p>
        </w:tc>
      </w:tr>
      <w:tr w:rsidR="00877EC2" w:rsidRPr="00877EC2" w:rsidTr="00877EC2"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G2: Moderately differentiated</w:t>
            </w:r>
          </w:p>
        </w:tc>
      </w:tr>
      <w:tr w:rsidR="00877EC2" w:rsidRPr="00877EC2" w:rsidTr="00877EC2"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G3: Po</w:t>
            </w:r>
            <w:bookmarkStart w:id="0" w:name="_GoBack"/>
            <w:bookmarkEnd w:id="0"/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orly differentiated</w:t>
            </w:r>
          </w:p>
        </w:tc>
      </w:tr>
      <w:tr w:rsidR="00877EC2" w:rsidRPr="00877EC2" w:rsidTr="00877EC2">
        <w:tc>
          <w:tcPr>
            <w:tcW w:w="14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7EC2" w:rsidRPr="00877EC2" w:rsidRDefault="00877EC2" w:rsidP="00877EC2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 w:val="20"/>
                <w:szCs w:val="20"/>
              </w:rPr>
            </w:pPr>
            <w:r w:rsidRPr="00877EC2">
              <w:rPr>
                <w:rFonts w:ascii="Calibri" w:eastAsia="Times New Roman" w:hAnsi="Calibri" w:cs="Calibri"/>
                <w:color w:val="000000" w:themeColor="text1"/>
                <w:kern w:val="24"/>
                <w:sz w:val="20"/>
                <w:szCs w:val="20"/>
              </w:rPr>
              <w:t>Grade cannot be assessed (GX); Unknown</w:t>
            </w:r>
          </w:p>
        </w:tc>
      </w:tr>
    </w:tbl>
    <w:p w:rsidR="00877EC2" w:rsidRPr="00877EC2" w:rsidRDefault="00877EC2" w:rsidP="00105FA4"/>
    <w:sectPr w:rsidR="00877EC2" w:rsidRPr="00877EC2" w:rsidSect="0087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413"/>
    <w:multiLevelType w:val="hybridMultilevel"/>
    <w:tmpl w:val="93FA67D0"/>
    <w:lvl w:ilvl="0" w:tplc="5DCA83C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C3F95"/>
    <w:multiLevelType w:val="hybridMultilevel"/>
    <w:tmpl w:val="6694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7974"/>
    <w:multiLevelType w:val="hybridMultilevel"/>
    <w:tmpl w:val="DF4E3FD4"/>
    <w:lvl w:ilvl="0" w:tplc="2C6804C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87EF9"/>
    <w:multiLevelType w:val="hybridMultilevel"/>
    <w:tmpl w:val="2FB22F8A"/>
    <w:lvl w:ilvl="0" w:tplc="47A6099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A4"/>
    <w:rsid w:val="000F143B"/>
    <w:rsid w:val="00105FA4"/>
    <w:rsid w:val="001A0E95"/>
    <w:rsid w:val="003134B9"/>
    <w:rsid w:val="00382269"/>
    <w:rsid w:val="007E7AAC"/>
    <w:rsid w:val="007F46B6"/>
    <w:rsid w:val="00877EC2"/>
    <w:rsid w:val="00A20E04"/>
    <w:rsid w:val="00A46E12"/>
    <w:rsid w:val="00AB1967"/>
    <w:rsid w:val="00C4509C"/>
    <w:rsid w:val="00E822EE"/>
    <w:rsid w:val="00F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67210-8666-4C51-B3E2-78B9C35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05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22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0">
    <w:name w:val="[Normal]"/>
    <w:rsid w:val="00E822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31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134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7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3</cp:revision>
  <dcterms:created xsi:type="dcterms:W3CDTF">2018-04-05T12:05:00Z</dcterms:created>
  <dcterms:modified xsi:type="dcterms:W3CDTF">2018-04-05T21:10:00Z</dcterms:modified>
</cp:coreProperties>
</file>