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55" w:rsidRDefault="0032539B" w:rsidP="0032539B">
      <w:pPr>
        <w:pStyle w:val="Heading1"/>
        <w:jc w:val="center"/>
      </w:pPr>
      <w:r>
        <w:t>Lymphoma Case Scenario 1</w:t>
      </w:r>
    </w:p>
    <w:p w:rsidR="00611E70" w:rsidRDefault="00611E70" w:rsidP="00657955">
      <w:pPr>
        <w:autoSpaceDE w:val="0"/>
        <w:autoSpaceDN w:val="0"/>
        <w:adjustRightInd w:val="0"/>
        <w:spacing w:after="0" w:line="240" w:lineRule="auto"/>
        <w:rPr>
          <w:rFonts w:ascii="Calibri,Bold" w:hAnsi="Calibri,Bold" w:cs="Calibri,Bold"/>
          <w:b/>
          <w:bCs/>
          <w:sz w:val="28"/>
          <w:szCs w:val="28"/>
        </w:rPr>
      </w:pPr>
    </w:p>
    <w:p w:rsidR="00657955" w:rsidRDefault="00657955" w:rsidP="00657955">
      <w:pPr>
        <w:autoSpaceDE w:val="0"/>
        <w:autoSpaceDN w:val="0"/>
        <w:adjustRightInd w:val="0"/>
        <w:spacing w:after="0" w:line="240" w:lineRule="auto"/>
      </w:pPr>
      <w:r>
        <w:rPr>
          <w:rFonts w:ascii="Calibri" w:hAnsi="Calibri" w:cs="Calibri"/>
        </w:rPr>
        <w:t xml:space="preserve">HISTORY: </w:t>
      </w:r>
      <w:r>
        <w:t xml:space="preserve">A 23-year-old healthy female presented with a month-long history of persistent headache of increasing severity. She noted episodic nausea and vomiting in association with her headaches that were exacerbated by exertion. </w:t>
      </w:r>
    </w:p>
    <w:p w:rsidR="00611E70" w:rsidRDefault="00611E70" w:rsidP="00657955">
      <w:pPr>
        <w:autoSpaceDE w:val="0"/>
        <w:autoSpaceDN w:val="0"/>
        <w:adjustRightInd w:val="0"/>
        <w:spacing w:after="0" w:line="240" w:lineRule="auto"/>
      </w:pPr>
    </w:p>
    <w:p w:rsidR="00657955" w:rsidRDefault="00611E70" w:rsidP="00657955">
      <w:pPr>
        <w:autoSpaceDE w:val="0"/>
        <w:autoSpaceDN w:val="0"/>
        <w:adjustRightInd w:val="0"/>
        <w:spacing w:after="0" w:line="240" w:lineRule="auto"/>
      </w:pPr>
      <w:r>
        <w:t>F</w:t>
      </w:r>
      <w:r w:rsidR="00F86219">
        <w:t xml:space="preserve">AMILY HISTORY:  </w:t>
      </w:r>
      <w:r>
        <w:t>P</w:t>
      </w:r>
      <w:r w:rsidR="00657955">
        <w:t xml:space="preserve">aternal aunt died at age 23 years of Hodgkin’s lymphoma.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3/10/16</w:t>
      </w:r>
      <w:r w:rsidR="000707A7">
        <w:t xml:space="preserve">   </w:t>
      </w:r>
      <w:r w:rsidR="00611E70">
        <w:t>P</w:t>
      </w:r>
      <w:r w:rsidR="00F86219">
        <w:t>HYSICAL EXAM:</w:t>
      </w:r>
      <w:r w:rsidR="00611E70">
        <w:t xml:space="preserve">  Re</w:t>
      </w:r>
      <w:r w:rsidR="00657955">
        <w:t xml:space="preserve">vealed nystagmus with bidirectional lateral gaze and left upper-extremity dysmetria.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w:t>
      </w:r>
      <w:r w:rsidR="000707A7">
        <w:t>/13/</w:t>
      </w:r>
      <w:r w:rsidR="0002684F">
        <w:t>16 IMAGING</w:t>
      </w:r>
    </w:p>
    <w:p w:rsidR="00657955" w:rsidRDefault="00657955" w:rsidP="00657955">
      <w:pPr>
        <w:autoSpaceDE w:val="0"/>
        <w:autoSpaceDN w:val="0"/>
        <w:adjustRightInd w:val="0"/>
        <w:spacing w:after="0" w:line="240" w:lineRule="auto"/>
      </w:pPr>
      <w:r>
        <w:t xml:space="preserve">MRI: </w:t>
      </w:r>
      <w:r w:rsidR="00F86219">
        <w:t>D</w:t>
      </w:r>
      <w:r>
        <w:t xml:space="preserve">emonstrated a left-sided, extra-axial posterior fossa mass that was broadly based on the retrosigmoid dura, and enhanced homogeneously. Imaging characteristics were consistent with meningioma. </w:t>
      </w:r>
    </w:p>
    <w:p w:rsidR="00657955" w:rsidRDefault="00657955" w:rsidP="00657955">
      <w:pPr>
        <w:autoSpaceDE w:val="0"/>
        <w:autoSpaceDN w:val="0"/>
        <w:adjustRightInd w:val="0"/>
        <w:spacing w:after="0" w:line="240" w:lineRule="auto"/>
      </w:pPr>
    </w:p>
    <w:p w:rsidR="00657955" w:rsidRDefault="0032539B" w:rsidP="00657955">
      <w:pPr>
        <w:autoSpaceDE w:val="0"/>
        <w:autoSpaceDN w:val="0"/>
        <w:adjustRightInd w:val="0"/>
        <w:spacing w:after="0" w:line="240" w:lineRule="auto"/>
      </w:pPr>
      <w:r>
        <w:t>3</w:t>
      </w:r>
      <w:r w:rsidR="000707A7">
        <w:t>/17/1</w:t>
      </w:r>
      <w:r>
        <w:t>6</w:t>
      </w:r>
      <w:r w:rsidR="000707A7">
        <w:t xml:space="preserve"> </w:t>
      </w:r>
      <w:r w:rsidR="00F86219">
        <w:t>PROCEDURE</w:t>
      </w:r>
      <w:r w:rsidR="00611E70">
        <w:t xml:space="preserve">: </w:t>
      </w:r>
      <w:r w:rsidR="00657955">
        <w:t xml:space="preserve"> </w:t>
      </w:r>
      <w:r w:rsidR="00F86219">
        <w:t>P</w:t>
      </w:r>
      <w:r w:rsidR="00657955">
        <w:t xml:space="preserve">osterior fossa craniectomy and tumor excision without complication. </w:t>
      </w:r>
    </w:p>
    <w:p w:rsidR="00657955" w:rsidRDefault="00657955" w:rsidP="00657955">
      <w:pPr>
        <w:autoSpaceDE w:val="0"/>
        <w:autoSpaceDN w:val="0"/>
        <w:adjustRightInd w:val="0"/>
        <w:spacing w:after="0" w:line="240" w:lineRule="auto"/>
      </w:pPr>
    </w:p>
    <w:p w:rsidR="00611E70" w:rsidRDefault="0032539B" w:rsidP="00657955">
      <w:pPr>
        <w:autoSpaceDE w:val="0"/>
        <w:autoSpaceDN w:val="0"/>
        <w:adjustRightInd w:val="0"/>
        <w:spacing w:after="0" w:line="240" w:lineRule="auto"/>
      </w:pPr>
      <w:r>
        <w:t>3</w:t>
      </w:r>
      <w:r w:rsidR="000707A7">
        <w:t>/18/1</w:t>
      </w:r>
      <w:r>
        <w:t>6</w:t>
      </w:r>
      <w:r w:rsidR="000707A7">
        <w:t xml:space="preserve">  </w:t>
      </w:r>
      <w:r w:rsidR="00F86219">
        <w:t xml:space="preserve"> SURG</w:t>
      </w:r>
      <w:r w:rsidR="00A30D50">
        <w:t>ICAL</w:t>
      </w:r>
      <w:r w:rsidR="00F86219">
        <w:t xml:space="preserve"> PATHOLOGIC EVALUATION: </w:t>
      </w:r>
      <w:r w:rsidR="00657955">
        <w:t xml:space="preserve"> </w:t>
      </w:r>
    </w:p>
    <w:p w:rsidR="00D32C80" w:rsidRDefault="00D32C80" w:rsidP="00F86219">
      <w:pPr>
        <w:pStyle w:val="ListParagraph"/>
        <w:numPr>
          <w:ilvl w:val="0"/>
          <w:numId w:val="1"/>
        </w:numPr>
        <w:autoSpaceDE w:val="0"/>
        <w:autoSpaceDN w:val="0"/>
        <w:adjustRightInd w:val="0"/>
        <w:spacing w:after="0" w:line="240" w:lineRule="auto"/>
      </w:pPr>
      <w:r>
        <w:t>F</w:t>
      </w:r>
      <w:r w:rsidR="00657955">
        <w:t xml:space="preserve">ibrous tumor composed of small lymphocytes and scattered plasma cells consistent with nodular sclerosis type Hodgkin’s lymphoma. </w:t>
      </w:r>
    </w:p>
    <w:p w:rsidR="00D32C80" w:rsidRDefault="00D32C80" w:rsidP="00F86219">
      <w:pPr>
        <w:pStyle w:val="ListParagraph"/>
        <w:numPr>
          <w:ilvl w:val="0"/>
          <w:numId w:val="1"/>
        </w:numPr>
        <w:autoSpaceDE w:val="0"/>
        <w:autoSpaceDN w:val="0"/>
        <w:adjustRightInd w:val="0"/>
        <w:spacing w:after="0" w:line="240" w:lineRule="auto"/>
      </w:pPr>
      <w:r>
        <w:t xml:space="preserve">Immunoperoxidase staining: </w:t>
      </w:r>
      <w:r w:rsidR="00657955">
        <w:t>Reed</w:t>
      </w:r>
      <w:r w:rsidR="00611E70">
        <w:t>-</w:t>
      </w:r>
      <w:r w:rsidR="00657955">
        <w:t xml:space="preserve">Sternberg cells present and positive for </w:t>
      </w:r>
      <w:r w:rsidR="003F14DE">
        <w:t>CD15 and</w:t>
      </w:r>
      <w:r w:rsidR="00657955">
        <w:t xml:space="preserve"> CD30</w:t>
      </w:r>
      <w:r w:rsidR="00F86219">
        <w:t>.</w:t>
      </w:r>
      <w:r w:rsidR="00657955">
        <w:t xml:space="preserve"> </w:t>
      </w:r>
    </w:p>
    <w:p w:rsidR="00657955" w:rsidRDefault="00657955" w:rsidP="00F86219">
      <w:pPr>
        <w:pStyle w:val="ListParagraph"/>
        <w:numPr>
          <w:ilvl w:val="0"/>
          <w:numId w:val="1"/>
        </w:numPr>
        <w:autoSpaceDE w:val="0"/>
        <w:autoSpaceDN w:val="0"/>
        <w:adjustRightInd w:val="0"/>
        <w:spacing w:after="0" w:line="240" w:lineRule="auto"/>
      </w:pPr>
      <w:r>
        <w:t xml:space="preserve">In situ hybridization for Epstein-Barr virus–associated RNA was negative. </w:t>
      </w:r>
    </w:p>
    <w:p w:rsidR="00657955" w:rsidRDefault="00657955" w:rsidP="00657955">
      <w:pPr>
        <w:autoSpaceDE w:val="0"/>
        <w:autoSpaceDN w:val="0"/>
        <w:adjustRightInd w:val="0"/>
        <w:spacing w:after="0" w:line="240" w:lineRule="auto"/>
      </w:pPr>
    </w:p>
    <w:p w:rsidR="00F86219" w:rsidRDefault="0032539B" w:rsidP="00657955">
      <w:pPr>
        <w:autoSpaceDE w:val="0"/>
        <w:autoSpaceDN w:val="0"/>
        <w:adjustRightInd w:val="0"/>
        <w:spacing w:after="0" w:line="240" w:lineRule="auto"/>
      </w:pPr>
      <w:r>
        <w:t>3</w:t>
      </w:r>
      <w:r w:rsidR="000707A7">
        <w:t>/21/1</w:t>
      </w:r>
      <w:r>
        <w:t>6</w:t>
      </w:r>
      <w:r w:rsidR="000707A7">
        <w:t xml:space="preserve"> </w:t>
      </w:r>
      <w:r w:rsidR="00F86219">
        <w:t xml:space="preserve">POST SURGERY IMAGING </w:t>
      </w:r>
    </w:p>
    <w:p w:rsidR="004B5AD5" w:rsidRDefault="004B5AD5" w:rsidP="00657955">
      <w:pPr>
        <w:autoSpaceDE w:val="0"/>
        <w:autoSpaceDN w:val="0"/>
        <w:adjustRightInd w:val="0"/>
        <w:spacing w:after="0" w:line="240" w:lineRule="auto"/>
      </w:pPr>
      <w:r>
        <w:t xml:space="preserve">CT: </w:t>
      </w:r>
      <w:r w:rsidR="00B129C1">
        <w:t>P</w:t>
      </w:r>
      <w:r>
        <w:t>revascular, pretracheal and supraclavicular lymphadenopathy</w:t>
      </w:r>
    </w:p>
    <w:p w:rsidR="004B5AD5" w:rsidRDefault="004B5AD5" w:rsidP="00657955">
      <w:pPr>
        <w:autoSpaceDE w:val="0"/>
        <w:autoSpaceDN w:val="0"/>
        <w:adjustRightInd w:val="0"/>
        <w:spacing w:after="0" w:line="240" w:lineRule="auto"/>
      </w:pPr>
      <w:r>
        <w:t xml:space="preserve">MRI: T10 vertebral body </w:t>
      </w:r>
      <w:r w:rsidR="0002684F">
        <w:t>metastasis</w:t>
      </w:r>
      <w:r>
        <w:t xml:space="preserve"> with adjacent epidural enhancement</w:t>
      </w:r>
    </w:p>
    <w:p w:rsidR="00F86219" w:rsidRDefault="00F86219" w:rsidP="00657955">
      <w:pPr>
        <w:autoSpaceDE w:val="0"/>
        <w:autoSpaceDN w:val="0"/>
        <w:adjustRightInd w:val="0"/>
        <w:spacing w:after="0" w:line="240" w:lineRule="auto"/>
      </w:pPr>
    </w:p>
    <w:p w:rsidR="00F86219" w:rsidRDefault="0032539B" w:rsidP="00657955">
      <w:pPr>
        <w:autoSpaceDE w:val="0"/>
        <w:autoSpaceDN w:val="0"/>
        <w:adjustRightInd w:val="0"/>
        <w:spacing w:after="0" w:line="240" w:lineRule="auto"/>
      </w:pPr>
      <w:r>
        <w:t>3/23/16</w:t>
      </w:r>
      <w:r w:rsidR="000707A7">
        <w:t xml:space="preserve">  </w:t>
      </w:r>
      <w:r w:rsidR="00F86219">
        <w:t>POST SURG</w:t>
      </w:r>
      <w:r w:rsidR="00A30D50">
        <w:t>ERY</w:t>
      </w:r>
      <w:r w:rsidR="00F86219">
        <w:t xml:space="preserve"> </w:t>
      </w:r>
      <w:r w:rsidR="000707A7">
        <w:t>FINDINGS</w:t>
      </w:r>
    </w:p>
    <w:p w:rsidR="004B5AD5" w:rsidRDefault="004B5AD5" w:rsidP="00657955">
      <w:pPr>
        <w:autoSpaceDE w:val="0"/>
        <w:autoSpaceDN w:val="0"/>
        <w:adjustRightInd w:val="0"/>
        <w:spacing w:after="0" w:line="240" w:lineRule="auto"/>
      </w:pPr>
      <w:r>
        <w:t>Lumbar Puncture: normal CSF protein and negative CSF cytology</w:t>
      </w:r>
    </w:p>
    <w:p w:rsidR="004B5AD5" w:rsidRDefault="004B5AD5" w:rsidP="00657955">
      <w:pPr>
        <w:autoSpaceDE w:val="0"/>
        <w:autoSpaceDN w:val="0"/>
        <w:adjustRightInd w:val="0"/>
        <w:spacing w:after="0" w:line="240" w:lineRule="auto"/>
      </w:pPr>
      <w:r>
        <w:t xml:space="preserve">Bone Marrow biopsy: negative </w:t>
      </w:r>
    </w:p>
    <w:p w:rsidR="004B5AD5" w:rsidRDefault="004B5AD5" w:rsidP="00657955">
      <w:pPr>
        <w:autoSpaceDE w:val="0"/>
        <w:autoSpaceDN w:val="0"/>
        <w:adjustRightInd w:val="0"/>
        <w:spacing w:after="0" w:line="240" w:lineRule="auto"/>
      </w:pPr>
      <w:r>
        <w:t xml:space="preserve">HIV: negative </w:t>
      </w:r>
    </w:p>
    <w:p w:rsidR="00B129C1" w:rsidRDefault="00B129C1" w:rsidP="00657955">
      <w:pPr>
        <w:autoSpaceDE w:val="0"/>
        <w:autoSpaceDN w:val="0"/>
        <w:adjustRightInd w:val="0"/>
        <w:spacing w:after="0" w:line="240" w:lineRule="auto"/>
      </w:pPr>
      <w:r>
        <w:t xml:space="preserve">Final Diagnosis: </w:t>
      </w:r>
      <w:r w:rsidR="00F86219">
        <w:t>Hodgkin’s Lymphoma</w:t>
      </w:r>
    </w:p>
    <w:p w:rsidR="004B5AD5" w:rsidRDefault="004B5AD5" w:rsidP="00657955">
      <w:pPr>
        <w:autoSpaceDE w:val="0"/>
        <w:autoSpaceDN w:val="0"/>
        <w:adjustRightInd w:val="0"/>
        <w:spacing w:after="0" w:line="240" w:lineRule="auto"/>
      </w:pPr>
    </w:p>
    <w:p w:rsidR="004B5AD5" w:rsidRDefault="000707A7" w:rsidP="00657955">
      <w:pPr>
        <w:autoSpaceDE w:val="0"/>
        <w:autoSpaceDN w:val="0"/>
        <w:adjustRightInd w:val="0"/>
        <w:spacing w:after="0" w:line="240" w:lineRule="auto"/>
      </w:pPr>
      <w:r>
        <w:t>TRE</w:t>
      </w:r>
      <w:r w:rsidR="00F86219">
        <w:t xml:space="preserve">ATMENT: </w:t>
      </w:r>
    </w:p>
    <w:p w:rsidR="004B5AD5" w:rsidRDefault="004B5AD5" w:rsidP="00657955">
      <w:pPr>
        <w:autoSpaceDE w:val="0"/>
        <w:autoSpaceDN w:val="0"/>
        <w:adjustRightInd w:val="0"/>
        <w:spacing w:after="0" w:line="240" w:lineRule="auto"/>
      </w:pPr>
      <w:r>
        <w:t xml:space="preserve">The patient was </w:t>
      </w:r>
      <w:r w:rsidR="00657955">
        <w:t>treated with six cycles of chemotherapy with doxorubicin, bleomycin, vinblastine, dacarbazine (ABVD), with four treatments of intrathecal thiotepa, followed by 36 Gy radiotherapy to the posterior fossa, and 30.6 Gy to the mediastinum, including T10. The patient entered complete remission after three cycles of ABVD and remains in ongoing complete remission.</w:t>
      </w: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p w:rsidR="0032539B" w:rsidRDefault="0032539B" w:rsidP="00657955">
      <w:pPr>
        <w:autoSpaceDE w:val="0"/>
        <w:autoSpaceDN w:val="0"/>
        <w:adjustRightInd w:val="0"/>
        <w:spacing w:after="0" w:line="240" w:lineRule="auto"/>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32539B" w:rsidRPr="008D6F8A" w:rsidTr="00D45F9C">
        <w:tc>
          <w:tcPr>
            <w:tcW w:w="4657" w:type="dxa"/>
            <w:gridSpan w:val="4"/>
            <w:shd w:val="clear" w:color="auto" w:fill="auto"/>
          </w:tcPr>
          <w:p w:rsidR="0032539B" w:rsidRDefault="0032539B" w:rsidP="0032539B">
            <w:pPr>
              <w:numPr>
                <w:ilvl w:val="0"/>
                <w:numId w:val="6"/>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rsidR="0062121E" w:rsidRPr="008D6F8A" w:rsidRDefault="0062121E" w:rsidP="0062121E">
            <w:pPr>
              <w:spacing w:after="0" w:line="240" w:lineRule="auto"/>
              <w:ind w:left="720"/>
              <w:contextualSpacing/>
              <w:rPr>
                <w:rFonts w:cs="Calibri"/>
                <w:b/>
                <w:bCs/>
                <w:color w:val="365F91"/>
              </w:rPr>
            </w:pPr>
          </w:p>
          <w:p w:rsidR="0032539B"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histology?</w:t>
            </w:r>
          </w:p>
          <w:p w:rsidR="0032539B" w:rsidRPr="008D6F8A" w:rsidRDefault="0032539B" w:rsidP="0062121E">
            <w:pPr>
              <w:spacing w:after="0" w:line="240" w:lineRule="auto"/>
              <w:contextualSpacing/>
              <w:rPr>
                <w:rFonts w:cs="Calibri"/>
                <w:b/>
                <w:bCs/>
                <w:color w:val="365F91"/>
              </w:rPr>
            </w:pPr>
          </w:p>
        </w:tc>
        <w:tc>
          <w:tcPr>
            <w:tcW w:w="4788" w:type="dxa"/>
            <w:gridSpan w:val="3"/>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grade/differentiation?</w:t>
            </w:r>
          </w:p>
          <w:p w:rsidR="0032539B" w:rsidRPr="008D6F8A" w:rsidRDefault="0032539B" w:rsidP="00D45F9C">
            <w:pPr>
              <w:spacing w:after="0" w:line="240" w:lineRule="auto"/>
              <w:ind w:left="720"/>
              <w:contextualSpacing/>
              <w:rPr>
                <w:rFonts w:cs="Calibri"/>
                <w:b/>
                <w:bCs/>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contextualSpacing/>
              <w:jc w:val="center"/>
              <w:rPr>
                <w:rFonts w:cs="Calibri"/>
                <w:b/>
                <w:bCs/>
                <w:color w:val="365F91"/>
              </w:rPr>
            </w:pPr>
            <w:r w:rsidRPr="008D6F8A">
              <w:rPr>
                <w:rFonts w:cs="Calibri"/>
                <w:b/>
                <w:bCs/>
                <w:color w:val="365F91"/>
              </w:rPr>
              <w:t>Stage/ Prognostic Factors</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rPr>
          <w:trHeight w:val="242"/>
        </w:trPr>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rsidR="0032539B" w:rsidRPr="008D6F8A" w:rsidRDefault="0032539B" w:rsidP="00D45F9C">
            <w:pPr>
              <w:tabs>
                <w:tab w:val="center" w:pos="882"/>
              </w:tabs>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rsidR="0032539B" w:rsidRPr="008D6F8A" w:rsidRDefault="0032539B" w:rsidP="00D45F9C">
            <w:pPr>
              <w:tabs>
                <w:tab w:val="center" w:pos="882"/>
              </w:tabs>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32539B">
            <w:pPr>
              <w:spacing w:after="0" w:line="256" w:lineRule="auto"/>
              <w:rPr>
                <w:rFonts w:cs="Calibri"/>
                <w:bCs/>
                <w:color w:val="365F91"/>
              </w:rPr>
            </w:pPr>
            <w:r w:rsidRPr="008D6F8A">
              <w:rPr>
                <w:rFonts w:cs="Calibri"/>
                <w:bCs/>
                <w:color w:val="365F91"/>
              </w:rPr>
              <w:t xml:space="preserve">CS SSF </w:t>
            </w:r>
            <w:r>
              <w:rPr>
                <w:rFonts w:cs="Calibri"/>
                <w:bCs/>
                <w:color w:val="365F91"/>
              </w:rPr>
              <w:t>2</w:t>
            </w: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Treatment</w:t>
            </w:r>
          </w:p>
        </w:tc>
      </w:tr>
      <w:tr w:rsidR="0032539B" w:rsidRPr="008D6F8A" w:rsidTr="00D45F9C">
        <w:trPr>
          <w:trHeight w:val="70"/>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Dose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Dose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rPr>
          <w:trHeight w:val="287"/>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bl>
    <w:p w:rsidR="0032539B" w:rsidRDefault="0032539B" w:rsidP="00657955">
      <w:pPr>
        <w:autoSpaceDE w:val="0"/>
        <w:autoSpaceDN w:val="0"/>
        <w:adjustRightInd w:val="0"/>
        <w:spacing w:after="0" w:line="240" w:lineRule="auto"/>
      </w:pPr>
    </w:p>
    <w:p w:rsidR="004B5AD5" w:rsidRDefault="004B5AD5"/>
    <w:p w:rsidR="000707A7" w:rsidRDefault="000707A7" w:rsidP="000707A7">
      <w:pPr>
        <w:autoSpaceDE w:val="0"/>
        <w:autoSpaceDN w:val="0"/>
        <w:adjustRightInd w:val="0"/>
        <w:spacing w:after="0" w:line="240" w:lineRule="auto"/>
        <w:rPr>
          <w:rFonts w:ascii="Calibri,Bold" w:hAnsi="Calibri,Bold" w:cs="Calibri,Bold"/>
          <w:b/>
          <w:bCs/>
          <w:sz w:val="28"/>
          <w:szCs w:val="28"/>
        </w:rPr>
      </w:pPr>
      <w:r>
        <w:rPr>
          <w:rFonts w:ascii="Calibri" w:hAnsi="Calibri" w:cs="Calibri"/>
        </w:rPr>
        <w:br w:type="page"/>
      </w:r>
    </w:p>
    <w:p w:rsidR="0022100D" w:rsidRPr="00A30D50" w:rsidRDefault="0032539B" w:rsidP="0032539B">
      <w:pPr>
        <w:pStyle w:val="Heading1"/>
        <w:jc w:val="center"/>
      </w:pPr>
      <w:r w:rsidRPr="00A30D50">
        <w:lastRenderedPageBreak/>
        <w:t xml:space="preserve">Leukemia </w:t>
      </w:r>
      <w:r>
        <w:t>Case Scenario 2</w:t>
      </w:r>
    </w:p>
    <w:p w:rsidR="0022100D" w:rsidRPr="000073EF" w:rsidRDefault="0022100D" w:rsidP="0022100D">
      <w:pPr>
        <w:shd w:val="clear" w:color="auto" w:fill="FFFFFF"/>
        <w:spacing w:before="166" w:after="166" w:line="240" w:lineRule="auto"/>
        <w:rPr>
          <w:rFonts w:eastAsia="Times New Roman" w:cs="Times New Roman"/>
          <w:color w:val="000000"/>
        </w:rPr>
      </w:pPr>
      <w:r w:rsidRPr="000073EF">
        <w:rPr>
          <w:rFonts w:eastAsia="Times New Roman" w:cs="Times New Roman"/>
          <w:color w:val="000000"/>
        </w:rPr>
        <w:t>3/11/</w:t>
      </w:r>
      <w:r w:rsidR="0032539B">
        <w:rPr>
          <w:rFonts w:eastAsia="Times New Roman" w:cs="Times New Roman"/>
          <w:color w:val="000000"/>
        </w:rPr>
        <w:t>16</w:t>
      </w:r>
      <w:r w:rsidR="0032539B" w:rsidRPr="000073EF">
        <w:rPr>
          <w:rFonts w:eastAsia="Times New Roman" w:cs="Times New Roman"/>
          <w:color w:val="000000"/>
        </w:rPr>
        <w:t xml:space="preserve"> HISTORY</w:t>
      </w:r>
      <w:r w:rsidRPr="000073EF">
        <w:rPr>
          <w:rFonts w:eastAsia="Times New Roman" w:cs="Times New Roman"/>
          <w:color w:val="000000"/>
        </w:rPr>
        <w:t xml:space="preserve">: A 21-year-old </w:t>
      </w:r>
      <w:r w:rsidR="00A30D50" w:rsidRPr="000073EF">
        <w:rPr>
          <w:rFonts w:eastAsia="Times New Roman" w:cs="Times New Roman"/>
          <w:color w:val="000000"/>
        </w:rPr>
        <w:t>female</w:t>
      </w:r>
      <w:r w:rsidRPr="000073EF">
        <w:rPr>
          <w:rFonts w:eastAsia="Times New Roman" w:cs="Times New Roman"/>
          <w:color w:val="000000"/>
        </w:rPr>
        <w:t xml:space="preserve"> presented to the outpatient clinic with lower abdominal pain. Seven days before presentation, she had a ruptured corpus luteal cyst, which was detected on abdominal computed tomography (CT) at another clinic. Her initial platelet count was estimated to be 3,777×10</w:t>
      </w:r>
      <w:r w:rsidRPr="000073EF">
        <w:rPr>
          <w:rFonts w:eastAsia="Times New Roman" w:cs="Times New Roman"/>
          <w:color w:val="000000"/>
          <w:vertAlign w:val="superscript"/>
        </w:rPr>
        <w:t>9</w:t>
      </w:r>
      <w:r w:rsidRPr="000073EF">
        <w:rPr>
          <w:rFonts w:eastAsia="Times New Roman" w:cs="Times New Roman"/>
          <w:color w:val="000000"/>
        </w:rPr>
        <w:t xml:space="preserve">/L at our clinic. Because thrombocytosis appeared to be secondary to bleeding, the patient's blood cell counts were only monitored during her clinical course. However, we decided to perform further evaluation because of thrombocytosis persisted for 2 weeks with no decrease in the platelet count. Her medical history was unremarkable, and she had no family history of hematologic disease or genetic disorders. Her vital signs were normal at admission. Except for mild lower abdominal tenderness, the patient had no other positive findings on physical examination. </w:t>
      </w: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3/13/1</w:t>
      </w:r>
      <w:r w:rsidR="0032539B">
        <w:rPr>
          <w:rFonts w:eastAsia="Times New Roman" w:cs="Times New Roman"/>
          <w:color w:val="000000"/>
        </w:rPr>
        <w:t>6</w:t>
      </w:r>
      <w:r w:rsidRPr="000073EF">
        <w:rPr>
          <w:rFonts w:eastAsia="Times New Roman" w:cs="Times New Roman"/>
          <w:color w:val="000000"/>
        </w:rPr>
        <w:t xml:space="preserve"> LABWORK</w:t>
      </w:r>
    </w:p>
    <w:p w:rsidR="0022100D" w:rsidRPr="000073EF" w:rsidRDefault="0022100D" w:rsidP="00DF69E0">
      <w:pPr>
        <w:pStyle w:val="ListParagraph"/>
        <w:numPr>
          <w:ilvl w:val="0"/>
          <w:numId w:val="2"/>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(CBC) hemoglobin level of 10.1 g/dL, hematocrit level of 30.7%, </w:t>
      </w:r>
    </w:p>
    <w:p w:rsidR="0022100D" w:rsidRPr="000073EF" w:rsidRDefault="0022100D" w:rsidP="00DF69E0">
      <w:pPr>
        <w:pStyle w:val="ListParagraph"/>
        <w:numPr>
          <w:ilvl w:val="0"/>
          <w:numId w:val="2"/>
        </w:numPr>
        <w:shd w:val="clear" w:color="auto" w:fill="FFFFFF"/>
        <w:spacing w:after="0" w:line="240" w:lineRule="auto"/>
        <w:rPr>
          <w:rFonts w:eastAsia="Times New Roman" w:cs="Times New Roman"/>
          <w:color w:val="000000"/>
        </w:rPr>
      </w:pPr>
      <w:r w:rsidRPr="000073EF">
        <w:rPr>
          <w:rFonts w:eastAsia="Times New Roman" w:cs="Times New Roman"/>
          <w:color w:val="000000"/>
        </w:rPr>
        <w:t>(WBC) count of 10×10</w:t>
      </w:r>
      <w:r w:rsidRPr="000073EF">
        <w:rPr>
          <w:rFonts w:eastAsia="Times New Roman" w:cs="Times New Roman"/>
          <w:color w:val="000000"/>
          <w:vertAlign w:val="superscript"/>
        </w:rPr>
        <w:t>9</w:t>
      </w:r>
      <w:r w:rsidRPr="000073EF">
        <w:rPr>
          <w:rFonts w:eastAsia="Times New Roman" w:cs="Times New Roman"/>
          <w:color w:val="000000"/>
        </w:rPr>
        <w:t>/µL (differential count: neutrophils 63%, lymphocytes 33%, eosinophils 1%, basophils 3%, and monocytes 0%) and platelet count of 3,294×10</w:t>
      </w:r>
      <w:r w:rsidRPr="000073EF">
        <w:rPr>
          <w:rFonts w:eastAsia="Times New Roman" w:cs="Times New Roman"/>
          <w:color w:val="000000"/>
          <w:vertAlign w:val="superscript"/>
        </w:rPr>
        <w:t>9</w:t>
      </w:r>
      <w:r w:rsidRPr="000073EF">
        <w:rPr>
          <w:rFonts w:eastAsia="Times New Roman" w:cs="Times New Roman"/>
          <w:color w:val="000000"/>
        </w:rPr>
        <w:t xml:space="preserve">/L. </w:t>
      </w:r>
    </w:p>
    <w:p w:rsidR="0022100D" w:rsidRPr="000073EF" w:rsidRDefault="0022100D" w:rsidP="0022100D">
      <w:pPr>
        <w:shd w:val="clear" w:color="auto" w:fill="FFFFFF"/>
        <w:spacing w:after="0" w:line="240" w:lineRule="auto"/>
        <w:rPr>
          <w:rFonts w:eastAsia="Times New Roman" w:cs="Times New Roman"/>
          <w:color w:val="000000"/>
        </w:rPr>
      </w:pP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Serum biochemistry panel: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T</w:t>
      </w:r>
      <w:r w:rsidR="0022100D" w:rsidRPr="000073EF">
        <w:rPr>
          <w:rFonts w:eastAsia="Times New Roman" w:cs="Times New Roman"/>
          <w:color w:val="000000"/>
        </w:rPr>
        <w:t xml:space="preserve">otal protein, 7.2 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lbumin, 3.9 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T</w:t>
      </w:r>
      <w:r w:rsidR="0022100D" w:rsidRPr="000073EF">
        <w:rPr>
          <w:rFonts w:eastAsia="Times New Roman" w:cs="Times New Roman"/>
          <w:color w:val="000000"/>
        </w:rPr>
        <w:t xml:space="preserve">otal bilirubin, 1.2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spartate aminotransferase, 11 IU/L;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A</w:t>
      </w:r>
      <w:r w:rsidR="0022100D" w:rsidRPr="000073EF">
        <w:rPr>
          <w:rFonts w:eastAsia="Times New Roman" w:cs="Times New Roman"/>
          <w:color w:val="000000"/>
        </w:rPr>
        <w:t xml:space="preserve">lanine aminotransferase, 13 IU/L;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B</w:t>
      </w:r>
      <w:r w:rsidR="0022100D" w:rsidRPr="000073EF">
        <w:rPr>
          <w:rFonts w:eastAsia="Times New Roman" w:cs="Times New Roman"/>
          <w:color w:val="000000"/>
        </w:rPr>
        <w:t xml:space="preserve">lood urea nitrogen, 6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C</w:t>
      </w:r>
      <w:r w:rsidR="0022100D" w:rsidRPr="000073EF">
        <w:rPr>
          <w:rFonts w:eastAsia="Times New Roman" w:cs="Times New Roman"/>
          <w:color w:val="000000"/>
        </w:rPr>
        <w:t xml:space="preserve">reatinine, 0.6 mg/dL; </w:t>
      </w:r>
    </w:p>
    <w:p w:rsidR="0022100D" w:rsidRPr="000073EF" w:rsidRDefault="00DF69E0"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L</w:t>
      </w:r>
      <w:r w:rsidR="0022100D" w:rsidRPr="000073EF">
        <w:rPr>
          <w:rFonts w:eastAsia="Times New Roman" w:cs="Times New Roman"/>
          <w:color w:val="000000"/>
        </w:rPr>
        <w:t xml:space="preserve">actic dehydrogenase, 410 IU/L; </w:t>
      </w:r>
    </w:p>
    <w:p w:rsidR="0022100D" w:rsidRPr="000073EF" w:rsidRDefault="0022100D" w:rsidP="00DF69E0">
      <w:pPr>
        <w:pStyle w:val="ListParagraph"/>
        <w:numPr>
          <w:ilvl w:val="0"/>
          <w:numId w:val="3"/>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C-reactive protein, 2.0 mg/dL. </w:t>
      </w:r>
    </w:p>
    <w:p w:rsidR="0022100D" w:rsidRPr="000073EF" w:rsidRDefault="0022100D" w:rsidP="0022100D">
      <w:pPr>
        <w:shd w:val="clear" w:color="auto" w:fill="FFFFFF"/>
        <w:spacing w:after="0" w:line="240" w:lineRule="auto"/>
        <w:rPr>
          <w:rFonts w:eastAsia="Times New Roman" w:cs="Times New Roman"/>
          <w:color w:val="000000"/>
        </w:rPr>
      </w:pPr>
    </w:p>
    <w:p w:rsidR="0022100D" w:rsidRPr="000073EF" w:rsidRDefault="0022100D" w:rsidP="0022100D">
      <w:pPr>
        <w:shd w:val="clear" w:color="auto" w:fill="FFFFFF"/>
        <w:spacing w:after="0" w:line="240" w:lineRule="auto"/>
        <w:rPr>
          <w:rFonts w:eastAsia="Times New Roman" w:cs="Times New Roman"/>
          <w:color w:val="000000"/>
        </w:rPr>
      </w:pPr>
      <w:r w:rsidRPr="000073EF">
        <w:rPr>
          <w:rFonts w:eastAsia="Times New Roman" w:cs="Times New Roman"/>
          <w:color w:val="000000"/>
        </w:rPr>
        <w:t>Peripheral blood smear showed thrombocytosis.</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Serum iron level was 73 µg/dL,</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total iron binding capacity was 267 µg/dL, </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ferritin level was 206.5 ng/mL. </w:t>
      </w:r>
    </w:p>
    <w:p w:rsidR="0022100D" w:rsidRPr="000073EF" w:rsidRDefault="0022100D" w:rsidP="00DF69E0">
      <w:pPr>
        <w:pStyle w:val="ListParagraph"/>
        <w:numPr>
          <w:ilvl w:val="0"/>
          <w:numId w:val="4"/>
        </w:num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LAP score of 127 points, (within normal range) </w:t>
      </w:r>
    </w:p>
    <w:p w:rsidR="00A30D50" w:rsidRPr="000073EF" w:rsidRDefault="00A30D50" w:rsidP="0022100D">
      <w:pPr>
        <w:shd w:val="clear" w:color="auto" w:fill="FFFFFF"/>
        <w:spacing w:after="0" w:line="240" w:lineRule="auto"/>
        <w:rPr>
          <w:rFonts w:eastAsia="Times New Roman" w:cs="Times New Roman"/>
          <w:color w:val="000000"/>
        </w:rPr>
      </w:pPr>
    </w:p>
    <w:p w:rsidR="0022100D"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3/16/1</w:t>
      </w:r>
      <w:r w:rsidR="0032539B">
        <w:rPr>
          <w:rFonts w:eastAsia="Times New Roman" w:cs="Times New Roman"/>
          <w:color w:val="000000"/>
        </w:rPr>
        <w:t>6</w:t>
      </w:r>
      <w:r w:rsidRPr="000073EF">
        <w:rPr>
          <w:rFonts w:eastAsia="Times New Roman" w:cs="Times New Roman"/>
          <w:color w:val="000000"/>
        </w:rPr>
        <w:t xml:space="preserve">  CT of Abdomen and Pelvis: </w:t>
      </w:r>
    </w:p>
    <w:p w:rsidR="0022100D"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Revealed</w:t>
      </w:r>
      <w:r w:rsidR="0022100D" w:rsidRPr="000073EF">
        <w:rPr>
          <w:rFonts w:eastAsia="Times New Roman" w:cs="Times New Roman"/>
          <w:color w:val="000000"/>
        </w:rPr>
        <w:t xml:space="preserve"> a small amount of hemoperitoneum resulting from the previous ruptured ovarian cyst. </w:t>
      </w:r>
    </w:p>
    <w:p w:rsidR="00A30D50" w:rsidRPr="000073EF" w:rsidRDefault="00A30D5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3/25/1</w:t>
      </w:r>
      <w:r w:rsidR="0032539B">
        <w:rPr>
          <w:rFonts w:eastAsia="Times New Roman" w:cs="Times New Roman"/>
          <w:color w:val="000000"/>
        </w:rPr>
        <w:t>6</w:t>
      </w:r>
      <w:r w:rsidRPr="000073EF">
        <w:rPr>
          <w:rFonts w:eastAsia="Times New Roman" w:cs="Times New Roman"/>
          <w:color w:val="000000"/>
        </w:rPr>
        <w:t xml:space="preserve">  PROCEDURE</w:t>
      </w:r>
    </w:p>
    <w:p w:rsidR="00DF69E0" w:rsidRPr="000073EF" w:rsidRDefault="0022100D"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 xml:space="preserve">Bone </w:t>
      </w:r>
      <w:r w:rsidR="00DF69E0" w:rsidRPr="000073EF">
        <w:rPr>
          <w:rFonts w:eastAsia="Times New Roman" w:cs="Times New Roman"/>
          <w:color w:val="000000"/>
        </w:rPr>
        <w:t>M</w:t>
      </w:r>
      <w:r w:rsidRPr="000073EF">
        <w:rPr>
          <w:rFonts w:eastAsia="Times New Roman" w:cs="Times New Roman"/>
          <w:color w:val="000000"/>
        </w:rPr>
        <w:t xml:space="preserve">arrow </w:t>
      </w:r>
      <w:r w:rsidR="00DF69E0" w:rsidRPr="000073EF">
        <w:rPr>
          <w:rFonts w:eastAsia="Times New Roman" w:cs="Times New Roman"/>
          <w:color w:val="000000"/>
        </w:rPr>
        <w:t>A</w:t>
      </w:r>
      <w:r w:rsidRPr="000073EF">
        <w:rPr>
          <w:rFonts w:eastAsia="Times New Roman" w:cs="Times New Roman"/>
          <w:color w:val="000000"/>
        </w:rPr>
        <w:t xml:space="preserve">spiration and </w:t>
      </w:r>
      <w:r w:rsidR="00DF69E0" w:rsidRPr="000073EF">
        <w:rPr>
          <w:rFonts w:eastAsia="Times New Roman" w:cs="Times New Roman"/>
          <w:color w:val="000000"/>
        </w:rPr>
        <w:t>B</w:t>
      </w:r>
      <w:r w:rsidRPr="000073EF">
        <w:rPr>
          <w:rFonts w:eastAsia="Times New Roman" w:cs="Times New Roman"/>
          <w:color w:val="000000"/>
        </w:rPr>
        <w:t>iopsy</w:t>
      </w:r>
      <w:r w:rsidR="00DF69E0" w:rsidRPr="000073EF">
        <w:rPr>
          <w:rFonts w:eastAsia="Times New Roman" w:cs="Times New Roman"/>
          <w:color w:val="000000"/>
        </w:rPr>
        <w:t>:</w:t>
      </w:r>
      <w:r w:rsidRPr="000073EF">
        <w:rPr>
          <w:rFonts w:eastAsia="Times New Roman" w:cs="Times New Roman"/>
          <w:color w:val="000000"/>
        </w:rPr>
        <w:t xml:space="preserve"> </w:t>
      </w:r>
    </w:p>
    <w:p w:rsidR="00A30D50" w:rsidRPr="000073EF" w:rsidRDefault="00DF69E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R</w:t>
      </w:r>
      <w:r w:rsidR="0022100D" w:rsidRPr="000073EF">
        <w:rPr>
          <w:rFonts w:eastAsia="Times New Roman" w:cs="Times New Roman"/>
          <w:color w:val="000000"/>
        </w:rPr>
        <w:t xml:space="preserve">evealed a high number of megakaryocytes, but no cells undergoing malignant transformation cytogenetic abnormality was detected with the karyotype 46,XX,t(9;22)(q34;q11.2) on bone marrow. </w:t>
      </w:r>
      <w:r w:rsidRPr="000073EF">
        <w:rPr>
          <w:rFonts w:eastAsia="Times New Roman" w:cs="Times New Roman"/>
          <w:color w:val="000000"/>
        </w:rPr>
        <w:t>A</w:t>
      </w:r>
      <w:r w:rsidR="0022100D" w:rsidRPr="000073EF">
        <w:rPr>
          <w:rFonts w:eastAsia="Times New Roman" w:cs="Times New Roman"/>
          <w:color w:val="000000"/>
        </w:rPr>
        <w:t> </w:t>
      </w:r>
      <w:r w:rsidR="0022100D" w:rsidRPr="000073EF">
        <w:rPr>
          <w:rFonts w:eastAsia="Times New Roman" w:cs="Times New Roman"/>
          <w:i/>
          <w:iCs/>
          <w:color w:val="000000"/>
        </w:rPr>
        <w:t>bcr/abl</w:t>
      </w:r>
      <w:r w:rsidR="0022100D" w:rsidRPr="000073EF">
        <w:rPr>
          <w:rFonts w:eastAsia="Times New Roman" w:cs="Times New Roman"/>
          <w:color w:val="000000"/>
        </w:rPr>
        <w:t> rearrangement in the bone marrow using reverse transcriptase PCR</w:t>
      </w:r>
      <w:r w:rsidRPr="000073EF">
        <w:rPr>
          <w:rFonts w:eastAsia="Times New Roman" w:cs="Times New Roman"/>
          <w:color w:val="000000"/>
        </w:rPr>
        <w:t xml:space="preserve"> was observed</w:t>
      </w:r>
      <w:r w:rsidR="0022100D" w:rsidRPr="000073EF">
        <w:rPr>
          <w:rFonts w:eastAsia="Times New Roman" w:cs="Times New Roman"/>
          <w:color w:val="000000"/>
        </w:rPr>
        <w:t>, which also showed amplified products from the b3a2 mRNA deletion in the major </w:t>
      </w:r>
      <w:r w:rsidR="0022100D" w:rsidRPr="000073EF">
        <w:rPr>
          <w:rFonts w:eastAsia="Times New Roman" w:cs="Times New Roman"/>
          <w:i/>
          <w:iCs/>
          <w:color w:val="000000"/>
        </w:rPr>
        <w:t>bcr</w:t>
      </w:r>
      <w:r w:rsidR="0022100D" w:rsidRPr="000073EF">
        <w:rPr>
          <w:rFonts w:eastAsia="Times New Roman" w:cs="Times New Roman"/>
          <w:color w:val="000000"/>
        </w:rPr>
        <w:t xml:space="preserve"> gene. </w:t>
      </w:r>
    </w:p>
    <w:p w:rsidR="00DF69E0" w:rsidRPr="000073EF" w:rsidRDefault="00DF69E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3/25/1</w:t>
      </w:r>
      <w:r w:rsidR="0032539B">
        <w:rPr>
          <w:rFonts w:eastAsia="Times New Roman" w:cs="Times New Roman"/>
          <w:color w:val="000000"/>
        </w:rPr>
        <w:t>6</w:t>
      </w:r>
      <w:r w:rsidRPr="000073EF">
        <w:rPr>
          <w:rFonts w:eastAsia="Times New Roman" w:cs="Times New Roman"/>
          <w:color w:val="000000"/>
        </w:rPr>
        <w:t xml:space="preserve"> POST SURGICAL TESTING</w:t>
      </w:r>
      <w:r w:rsidR="00DF69E0" w:rsidRPr="000073EF">
        <w:rPr>
          <w:rFonts w:eastAsia="Times New Roman" w:cs="Times New Roman"/>
          <w:color w:val="000000"/>
        </w:rPr>
        <w:t xml:space="preserve"> and DIAGNOSIS</w:t>
      </w:r>
    </w:p>
    <w:p w:rsidR="00DF69E0" w:rsidRPr="000073EF" w:rsidRDefault="0022100D" w:rsidP="00DF69E0">
      <w:pPr>
        <w:pStyle w:val="ListParagraph"/>
        <w:numPr>
          <w:ilvl w:val="0"/>
          <w:numId w:val="5"/>
        </w:numPr>
        <w:shd w:val="clear" w:color="auto" w:fill="FFFFFF"/>
        <w:spacing w:after="0" w:line="240" w:lineRule="auto"/>
        <w:rPr>
          <w:rFonts w:eastAsia="Times New Roman" w:cs="Times New Roman"/>
          <w:color w:val="000000"/>
        </w:rPr>
      </w:pPr>
      <w:r w:rsidRPr="000073EF">
        <w:rPr>
          <w:rFonts w:eastAsia="Times New Roman" w:cs="Times New Roman"/>
          <w:color w:val="000000"/>
        </w:rPr>
        <w:t>Results were negative for the </w:t>
      </w:r>
      <w:r w:rsidRPr="000073EF">
        <w:rPr>
          <w:rFonts w:eastAsia="Times New Roman" w:cs="Times New Roman"/>
          <w:i/>
          <w:iCs/>
          <w:color w:val="000000"/>
        </w:rPr>
        <w:t>JAK2</w:t>
      </w:r>
      <w:r w:rsidRPr="000073EF">
        <w:rPr>
          <w:rFonts w:eastAsia="Times New Roman" w:cs="Times New Roman"/>
          <w:color w:val="000000"/>
        </w:rPr>
        <w:t xml:space="preserve"> V617F mutation. </w:t>
      </w:r>
    </w:p>
    <w:p w:rsidR="0022100D" w:rsidRPr="000073EF" w:rsidRDefault="0022100D" w:rsidP="00DF69E0">
      <w:pPr>
        <w:pStyle w:val="ListParagraph"/>
        <w:numPr>
          <w:ilvl w:val="0"/>
          <w:numId w:val="5"/>
        </w:numPr>
        <w:shd w:val="clear" w:color="auto" w:fill="FFFFFF"/>
        <w:spacing w:after="0" w:line="240" w:lineRule="auto"/>
        <w:rPr>
          <w:rFonts w:eastAsia="Times New Roman" w:cs="Times New Roman"/>
          <w:color w:val="000000"/>
        </w:rPr>
      </w:pPr>
      <w:r w:rsidRPr="000073EF">
        <w:rPr>
          <w:rFonts w:eastAsia="Times New Roman" w:cs="Times New Roman"/>
          <w:color w:val="000000"/>
        </w:rPr>
        <w:lastRenderedPageBreak/>
        <w:t>Because the patient had isolated thrombocytosis (3,294×10</w:t>
      </w:r>
      <w:r w:rsidRPr="000073EF">
        <w:rPr>
          <w:rFonts w:eastAsia="Times New Roman" w:cs="Times New Roman"/>
          <w:color w:val="000000"/>
          <w:vertAlign w:val="superscript"/>
        </w:rPr>
        <w:t>9</w:t>
      </w:r>
      <w:r w:rsidRPr="000073EF">
        <w:rPr>
          <w:rFonts w:eastAsia="Times New Roman" w:cs="Times New Roman"/>
          <w:color w:val="000000"/>
        </w:rPr>
        <w:t>/L), she was tentatively diagnosed with E</w:t>
      </w:r>
      <w:r w:rsidR="00D642A5">
        <w:rPr>
          <w:rFonts w:eastAsia="Times New Roman" w:cs="Times New Roman"/>
          <w:color w:val="000000"/>
        </w:rPr>
        <w:t xml:space="preserve">ssential </w:t>
      </w:r>
      <w:r w:rsidRPr="000073EF">
        <w:rPr>
          <w:rFonts w:eastAsia="Times New Roman" w:cs="Times New Roman"/>
          <w:color w:val="000000"/>
        </w:rPr>
        <w:t>T</w:t>
      </w:r>
      <w:r w:rsidR="00D642A5">
        <w:rPr>
          <w:rFonts w:eastAsia="Times New Roman" w:cs="Times New Roman"/>
          <w:color w:val="000000"/>
        </w:rPr>
        <w:t>hrombocythemia</w:t>
      </w:r>
      <w:r w:rsidRPr="000073EF">
        <w:rPr>
          <w:rFonts w:eastAsia="Times New Roman" w:cs="Times New Roman"/>
          <w:color w:val="000000"/>
        </w:rPr>
        <w:t xml:space="preserve"> before the results of the cytogenetic and molecular studies were available, even if results for the </w:t>
      </w:r>
      <w:r w:rsidRPr="000073EF">
        <w:rPr>
          <w:rFonts w:eastAsia="Times New Roman" w:cs="Times New Roman"/>
          <w:i/>
          <w:iCs/>
          <w:color w:val="000000"/>
        </w:rPr>
        <w:t>JAK2</w:t>
      </w:r>
      <w:r w:rsidRPr="000073EF">
        <w:rPr>
          <w:rFonts w:eastAsia="Times New Roman" w:cs="Times New Roman"/>
          <w:color w:val="000000"/>
        </w:rPr>
        <w:t xml:space="preserve"> V617F mutation were unknown. </w:t>
      </w:r>
    </w:p>
    <w:p w:rsidR="00A30D50" w:rsidRPr="000073EF" w:rsidRDefault="00A30D50" w:rsidP="00A30D50">
      <w:pPr>
        <w:shd w:val="clear" w:color="auto" w:fill="FFFFFF"/>
        <w:spacing w:after="0" w:line="240" w:lineRule="auto"/>
        <w:rPr>
          <w:rFonts w:eastAsia="Times New Roman" w:cs="Times New Roman"/>
          <w:color w:val="000000"/>
        </w:rPr>
      </w:pPr>
    </w:p>
    <w:p w:rsidR="00A30D50" w:rsidRPr="000073EF" w:rsidRDefault="00A30D50"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4/05/1</w:t>
      </w:r>
      <w:r w:rsidR="0032539B">
        <w:rPr>
          <w:rFonts w:eastAsia="Times New Roman" w:cs="Times New Roman"/>
          <w:color w:val="000000"/>
        </w:rPr>
        <w:t>6</w:t>
      </w:r>
      <w:r w:rsidRPr="000073EF">
        <w:rPr>
          <w:rFonts w:eastAsia="Times New Roman" w:cs="Times New Roman"/>
          <w:color w:val="000000"/>
        </w:rPr>
        <w:t xml:space="preserve">  TREATMENT</w:t>
      </w:r>
    </w:p>
    <w:p w:rsidR="0022100D" w:rsidRPr="000073EF" w:rsidRDefault="0022100D" w:rsidP="00A30D50">
      <w:pPr>
        <w:shd w:val="clear" w:color="auto" w:fill="FFFFFF"/>
        <w:spacing w:after="0" w:line="240" w:lineRule="auto"/>
        <w:rPr>
          <w:rFonts w:eastAsia="Times New Roman" w:cs="Times New Roman"/>
          <w:color w:val="000000"/>
        </w:rPr>
      </w:pPr>
      <w:r w:rsidRPr="000073EF">
        <w:rPr>
          <w:rFonts w:eastAsia="Times New Roman" w:cs="Times New Roman"/>
          <w:color w:val="000000"/>
        </w:rPr>
        <w:t>Hydroxyurea was administered to the patient at a dose of 2,000 mg/day for 14 days to lower her platelet count. A follow-up CBC showed persistent thrombocytosis, platelet counts of 2,206×10</w:t>
      </w:r>
      <w:r w:rsidRPr="000073EF">
        <w:rPr>
          <w:rFonts w:eastAsia="Times New Roman" w:cs="Times New Roman"/>
          <w:color w:val="000000"/>
          <w:vertAlign w:val="superscript"/>
        </w:rPr>
        <w:t>9</w:t>
      </w:r>
      <w:r w:rsidRPr="000073EF">
        <w:rPr>
          <w:rFonts w:eastAsia="Times New Roman" w:cs="Times New Roman"/>
          <w:color w:val="000000"/>
        </w:rPr>
        <w:t>/L, and leukocytopenia (1.1×10</w:t>
      </w:r>
      <w:r w:rsidRPr="000073EF">
        <w:rPr>
          <w:rFonts w:eastAsia="Times New Roman" w:cs="Times New Roman"/>
          <w:color w:val="000000"/>
          <w:vertAlign w:val="superscript"/>
        </w:rPr>
        <w:t>9</w:t>
      </w:r>
      <w:r w:rsidRPr="000073EF">
        <w:rPr>
          <w:rFonts w:eastAsia="Times New Roman" w:cs="Times New Roman"/>
          <w:color w:val="000000"/>
        </w:rPr>
        <w:t xml:space="preserve">/L). </w:t>
      </w:r>
      <w:r w:rsidR="000073EF" w:rsidRPr="000073EF">
        <w:rPr>
          <w:rFonts w:eastAsia="Times New Roman" w:cs="Times New Roman"/>
          <w:color w:val="000000"/>
        </w:rPr>
        <w:t>H</w:t>
      </w:r>
      <w:r w:rsidRPr="000073EF">
        <w:rPr>
          <w:rFonts w:eastAsia="Times New Roman" w:cs="Times New Roman"/>
          <w:color w:val="000000"/>
        </w:rPr>
        <w:t xml:space="preserve">ydroxyurea </w:t>
      </w:r>
      <w:r w:rsidR="000073EF" w:rsidRPr="000073EF">
        <w:rPr>
          <w:rFonts w:eastAsia="Times New Roman" w:cs="Times New Roman"/>
          <w:color w:val="000000"/>
        </w:rPr>
        <w:t xml:space="preserve">was discontinued </w:t>
      </w:r>
      <w:r w:rsidRPr="000073EF">
        <w:rPr>
          <w:rFonts w:eastAsia="Times New Roman" w:cs="Times New Roman"/>
          <w:color w:val="000000"/>
        </w:rPr>
        <w:t>and identified the Philadelphia chromosome and </w:t>
      </w:r>
      <w:r w:rsidRPr="000073EF">
        <w:rPr>
          <w:rFonts w:eastAsia="Times New Roman" w:cs="Times New Roman"/>
          <w:i/>
          <w:iCs/>
          <w:color w:val="000000"/>
        </w:rPr>
        <w:t>bcr/abl</w:t>
      </w:r>
      <w:r w:rsidRPr="000073EF">
        <w:rPr>
          <w:rFonts w:eastAsia="Times New Roman" w:cs="Times New Roman"/>
          <w:color w:val="000000"/>
        </w:rPr>
        <w:t> rearrangement, but no </w:t>
      </w:r>
      <w:r w:rsidRPr="000073EF">
        <w:rPr>
          <w:rFonts w:eastAsia="Times New Roman" w:cs="Times New Roman"/>
          <w:i/>
          <w:iCs/>
          <w:color w:val="000000"/>
        </w:rPr>
        <w:t>JAK2</w:t>
      </w:r>
      <w:r w:rsidRPr="000073EF">
        <w:rPr>
          <w:rFonts w:eastAsia="Times New Roman" w:cs="Times New Roman"/>
          <w:color w:val="000000"/>
        </w:rPr>
        <w:t> V617F mutation. This led to the final diagnosis of chronic-phase CML, for which the patient received imatinib. In the 6 days following the treatment with imatinib, the patient's platelet count normalized to 438×10</w:t>
      </w:r>
      <w:r w:rsidRPr="000073EF">
        <w:rPr>
          <w:rFonts w:eastAsia="Times New Roman" w:cs="Times New Roman"/>
          <w:color w:val="000000"/>
          <w:vertAlign w:val="superscript"/>
        </w:rPr>
        <w:t>9</w:t>
      </w:r>
      <w:r w:rsidRPr="000073EF">
        <w:rPr>
          <w:rFonts w:eastAsia="Times New Roman" w:cs="Times New Roman"/>
          <w:color w:val="000000"/>
        </w:rPr>
        <w:t xml:space="preserve">/L. </w:t>
      </w:r>
      <w:r w:rsidR="000073EF" w:rsidRPr="000073EF">
        <w:rPr>
          <w:rFonts w:eastAsia="Times New Roman" w:cs="Times New Roman"/>
          <w:color w:val="000000"/>
        </w:rPr>
        <w:t xml:space="preserve">Patient </w:t>
      </w:r>
      <w:r w:rsidRPr="000073EF">
        <w:rPr>
          <w:rFonts w:eastAsia="Times New Roman" w:cs="Times New Roman"/>
          <w:color w:val="000000"/>
        </w:rPr>
        <w:t>is currently followed up to conf</w:t>
      </w:r>
      <w:r w:rsidR="000073EF" w:rsidRPr="000073EF">
        <w:rPr>
          <w:rFonts w:eastAsia="Times New Roman" w:cs="Times New Roman"/>
          <w:color w:val="000000"/>
        </w:rPr>
        <w:t>irm complete molecular response a</w:t>
      </w:r>
      <w:r w:rsidRPr="000073EF">
        <w:rPr>
          <w:rFonts w:eastAsia="Times New Roman" w:cs="Times New Roman"/>
          <w:color w:val="000000"/>
        </w:rPr>
        <w:t>gainst </w:t>
      </w:r>
      <w:r w:rsidR="000073EF" w:rsidRPr="000073EF">
        <w:rPr>
          <w:rFonts w:eastAsia="Times New Roman" w:cs="Times New Roman"/>
          <w:color w:val="000000"/>
        </w:rPr>
        <w:t xml:space="preserve"> </w:t>
      </w:r>
      <w:r w:rsidRPr="000073EF">
        <w:rPr>
          <w:rFonts w:eastAsia="Times New Roman" w:cs="Times New Roman"/>
          <w:i/>
          <w:iCs/>
          <w:color w:val="000000"/>
        </w:rPr>
        <w:t>bcr/abl</w:t>
      </w:r>
      <w:r w:rsidRPr="000073EF">
        <w:rPr>
          <w:rFonts w:eastAsia="Times New Roman" w:cs="Times New Roman"/>
          <w:color w:val="000000"/>
        </w:rPr>
        <w:t> rearrangement. In the 3 months after treatment with imatinib, a major molecular response (3-log reduction of transcript levels) was observed.</w:t>
      </w:r>
    </w:p>
    <w:p w:rsidR="0022100D" w:rsidRDefault="0022100D"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p w:rsidR="0032539B" w:rsidRDefault="0032539B" w:rsidP="0022100D">
      <w:pPr>
        <w:shd w:val="clear" w:color="auto" w:fill="FFFFFF"/>
        <w:spacing w:after="0" w:line="240" w:lineRule="auto"/>
        <w:rPr>
          <w:rFonts w:eastAsia="Times New Roman" w:cs="Times New Roman"/>
          <w:color w:val="00000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32539B" w:rsidRPr="008D6F8A" w:rsidTr="00D45F9C">
        <w:tc>
          <w:tcPr>
            <w:tcW w:w="4657" w:type="dxa"/>
            <w:gridSpan w:val="4"/>
            <w:shd w:val="clear" w:color="auto" w:fill="auto"/>
          </w:tcPr>
          <w:p w:rsidR="0032539B" w:rsidRDefault="0032539B" w:rsidP="0032539B">
            <w:pPr>
              <w:numPr>
                <w:ilvl w:val="0"/>
                <w:numId w:val="6"/>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rsidR="00D4392C" w:rsidRPr="008D6F8A" w:rsidRDefault="00D4392C" w:rsidP="00D4392C">
            <w:pPr>
              <w:spacing w:after="0" w:line="240" w:lineRule="auto"/>
              <w:ind w:left="720"/>
              <w:contextualSpacing/>
              <w:rPr>
                <w:rFonts w:cs="Calibri"/>
                <w:b/>
                <w:bCs/>
                <w:color w:val="365F91"/>
              </w:rPr>
            </w:pPr>
          </w:p>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histology?</w:t>
            </w:r>
          </w:p>
          <w:p w:rsidR="0032539B" w:rsidRPr="008D6F8A" w:rsidRDefault="0032539B" w:rsidP="00CA3932">
            <w:pPr>
              <w:spacing w:after="0" w:line="240" w:lineRule="auto"/>
              <w:ind w:left="720"/>
              <w:contextualSpacing/>
              <w:rPr>
                <w:rFonts w:cs="Calibri"/>
                <w:b/>
                <w:bCs/>
                <w:color w:val="365F91"/>
              </w:rPr>
            </w:pPr>
          </w:p>
        </w:tc>
        <w:tc>
          <w:tcPr>
            <w:tcW w:w="4788" w:type="dxa"/>
            <w:gridSpan w:val="3"/>
            <w:shd w:val="clear" w:color="auto" w:fill="auto"/>
          </w:tcPr>
          <w:p w:rsidR="0032539B" w:rsidRPr="008D6F8A" w:rsidRDefault="0032539B" w:rsidP="0032539B">
            <w:pPr>
              <w:numPr>
                <w:ilvl w:val="0"/>
                <w:numId w:val="6"/>
              </w:numPr>
              <w:spacing w:after="0" w:line="240" w:lineRule="auto"/>
              <w:contextualSpacing/>
              <w:rPr>
                <w:rFonts w:cs="Calibri"/>
                <w:b/>
                <w:bCs/>
                <w:color w:val="365F91"/>
              </w:rPr>
            </w:pPr>
            <w:r w:rsidRPr="008D6F8A">
              <w:rPr>
                <w:rFonts w:cs="Calibri"/>
                <w:b/>
                <w:bCs/>
                <w:color w:val="365F91"/>
              </w:rPr>
              <w:t>What is the grade/differentiation?</w:t>
            </w:r>
          </w:p>
          <w:p w:rsidR="0032539B" w:rsidRPr="008D6F8A" w:rsidRDefault="0032539B" w:rsidP="00D45F9C">
            <w:pPr>
              <w:spacing w:after="0" w:line="240" w:lineRule="auto"/>
              <w:ind w:left="720"/>
              <w:contextualSpacing/>
              <w:rPr>
                <w:rFonts w:cs="Calibri"/>
                <w:b/>
                <w:bCs/>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contextualSpacing/>
              <w:jc w:val="center"/>
              <w:rPr>
                <w:rFonts w:cs="Calibri"/>
                <w:b/>
                <w:bCs/>
                <w:color w:val="365F91"/>
              </w:rPr>
            </w:pPr>
            <w:r w:rsidRPr="008D6F8A">
              <w:rPr>
                <w:rFonts w:cs="Calibri"/>
                <w:b/>
                <w:bCs/>
                <w:color w:val="365F91"/>
              </w:rPr>
              <w:t>Stage/ Prognostic Factors</w:t>
            </w: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rPr>
          <w:trHeight w:val="242"/>
        </w:trPr>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rsidR="0032539B" w:rsidRPr="008D6F8A" w:rsidRDefault="0032539B" w:rsidP="00D45F9C">
            <w:pPr>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rsidR="0032539B" w:rsidRPr="008D6F8A" w:rsidRDefault="0032539B" w:rsidP="00D45F9C">
            <w:pPr>
              <w:tabs>
                <w:tab w:val="center" w:pos="882"/>
              </w:tabs>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rsidR="0032539B" w:rsidRPr="008D6F8A" w:rsidRDefault="0032539B" w:rsidP="00D45F9C">
            <w:pPr>
              <w:tabs>
                <w:tab w:val="center" w:pos="882"/>
              </w:tabs>
              <w:spacing w:after="0" w:line="256" w:lineRule="auto"/>
              <w:rPr>
                <w:rFonts w:cs="Calibri"/>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2605" w:type="dxa"/>
            <w:shd w:val="clear" w:color="auto" w:fill="auto"/>
          </w:tcPr>
          <w:p w:rsidR="0032539B" w:rsidRPr="008D6F8A" w:rsidRDefault="0032539B" w:rsidP="00D45F9C">
            <w:pPr>
              <w:spacing w:after="0" w:line="256" w:lineRule="auto"/>
              <w:rPr>
                <w:rFonts w:cs="Calibri"/>
                <w:bCs/>
                <w:color w:val="365F91"/>
              </w:rPr>
            </w:pPr>
          </w:p>
        </w:tc>
        <w:tc>
          <w:tcPr>
            <w:tcW w:w="1879" w:type="dxa"/>
            <w:gridSpan w:val="2"/>
            <w:shd w:val="clear" w:color="auto" w:fill="D3DFEE"/>
          </w:tcPr>
          <w:p w:rsidR="0032539B" w:rsidRPr="008D6F8A" w:rsidRDefault="0032539B" w:rsidP="00D45F9C">
            <w:pPr>
              <w:spacing w:after="0" w:line="256" w:lineRule="auto"/>
              <w:rPr>
                <w:color w:val="365F91"/>
              </w:rPr>
            </w:pPr>
          </w:p>
        </w:tc>
        <w:tc>
          <w:tcPr>
            <w:tcW w:w="2711" w:type="dxa"/>
            <w:gridSpan w:val="2"/>
            <w:shd w:val="clear" w:color="auto" w:fill="auto"/>
          </w:tcPr>
          <w:p w:rsidR="0032539B" w:rsidRPr="008D6F8A" w:rsidRDefault="0032539B" w:rsidP="00D45F9C">
            <w:pPr>
              <w:spacing w:after="0" w:line="256" w:lineRule="auto"/>
              <w:rPr>
                <w:rFonts w:cs="Calibri"/>
                <w:bCs/>
                <w:color w:val="365F91"/>
              </w:rPr>
            </w:pPr>
          </w:p>
        </w:tc>
        <w:tc>
          <w:tcPr>
            <w:tcW w:w="2250" w:type="dxa"/>
            <w:gridSpan w:val="2"/>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9445" w:type="dxa"/>
            <w:gridSpan w:val="7"/>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Treatment</w:t>
            </w:r>
          </w:p>
        </w:tc>
      </w:tr>
      <w:tr w:rsidR="0032539B" w:rsidRPr="008D6F8A" w:rsidTr="00D45F9C">
        <w:trPr>
          <w:trHeight w:val="70"/>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rsidR="0032539B" w:rsidRPr="008D6F8A" w:rsidRDefault="0032539B" w:rsidP="00D45F9C">
            <w:pPr>
              <w:spacing w:after="0" w:line="256" w:lineRule="auto"/>
              <w:rPr>
                <w:rFonts w:cs="Calibri"/>
                <w:color w:val="365F91"/>
              </w:rPr>
            </w:pPr>
            <w:bookmarkStart w:id="0" w:name="_GoBack"/>
            <w:bookmarkEnd w:id="0"/>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Regional Dose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Boost Dose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Reason No Radiation</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rPr>
          <w:trHeight w:val="287"/>
        </w:trPr>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rsidR="0032539B" w:rsidRPr="008D6F8A" w:rsidRDefault="0032539B" w:rsidP="00D45F9C">
            <w:pPr>
              <w:spacing w:after="0" w:line="256" w:lineRule="auto"/>
              <w:rPr>
                <w:rFonts w:cs="Calibri"/>
                <w:color w:val="365F91"/>
              </w:rPr>
            </w:pPr>
          </w:p>
        </w:tc>
      </w:tr>
      <w:tr w:rsidR="0032539B" w:rsidRPr="008D6F8A" w:rsidTr="00D45F9C">
        <w:tc>
          <w:tcPr>
            <w:tcW w:w="3533" w:type="dxa"/>
            <w:gridSpan w:val="2"/>
            <w:shd w:val="clear" w:color="auto" w:fill="auto"/>
          </w:tcPr>
          <w:p w:rsidR="0032539B" w:rsidRPr="008D6F8A" w:rsidRDefault="0032539B" w:rsidP="00D45F9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rsidR="0032539B" w:rsidRPr="008D6F8A" w:rsidRDefault="0032539B" w:rsidP="00D45F9C">
            <w:pPr>
              <w:spacing w:after="0" w:line="256" w:lineRule="auto"/>
              <w:rPr>
                <w:rFonts w:cs="Calibri"/>
                <w:color w:val="365F91"/>
              </w:rPr>
            </w:pPr>
          </w:p>
        </w:tc>
        <w:tc>
          <w:tcPr>
            <w:tcW w:w="3438" w:type="dxa"/>
            <w:gridSpan w:val="3"/>
            <w:shd w:val="clear" w:color="auto" w:fill="auto"/>
          </w:tcPr>
          <w:p w:rsidR="0032539B" w:rsidRPr="008D6F8A" w:rsidRDefault="0032539B" w:rsidP="00D45F9C">
            <w:pPr>
              <w:spacing w:after="0" w:line="256" w:lineRule="auto"/>
              <w:rPr>
                <w:rFonts w:cs="Calibri"/>
                <w:color w:val="365F91"/>
              </w:rPr>
            </w:pPr>
          </w:p>
        </w:tc>
        <w:tc>
          <w:tcPr>
            <w:tcW w:w="1523" w:type="dxa"/>
            <w:shd w:val="clear" w:color="auto" w:fill="D3DFEE"/>
          </w:tcPr>
          <w:p w:rsidR="0032539B" w:rsidRPr="008D6F8A" w:rsidRDefault="0032539B" w:rsidP="00D45F9C">
            <w:pPr>
              <w:spacing w:after="0" w:line="256" w:lineRule="auto"/>
              <w:rPr>
                <w:rFonts w:cs="Calibri"/>
                <w:color w:val="365F91"/>
              </w:rPr>
            </w:pPr>
          </w:p>
        </w:tc>
      </w:tr>
    </w:tbl>
    <w:p w:rsidR="0032539B" w:rsidRPr="000073EF" w:rsidRDefault="0032539B" w:rsidP="0022100D">
      <w:pPr>
        <w:shd w:val="clear" w:color="auto" w:fill="FFFFFF"/>
        <w:spacing w:after="0" w:line="240" w:lineRule="auto"/>
        <w:rPr>
          <w:rFonts w:eastAsia="Times New Roman" w:cs="Times New Roman"/>
          <w:color w:val="000000"/>
        </w:rPr>
      </w:pPr>
    </w:p>
    <w:sectPr w:rsidR="0032539B" w:rsidRPr="00007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9C0" w:rsidRDefault="002709C0" w:rsidP="00A30D50">
      <w:pPr>
        <w:spacing w:after="0" w:line="240" w:lineRule="auto"/>
      </w:pPr>
      <w:r>
        <w:separator/>
      </w:r>
    </w:p>
  </w:endnote>
  <w:endnote w:type="continuationSeparator" w:id="0">
    <w:p w:rsidR="002709C0" w:rsidRDefault="002709C0" w:rsidP="00A3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9C0" w:rsidRDefault="002709C0" w:rsidP="00A30D50">
      <w:pPr>
        <w:spacing w:after="0" w:line="240" w:lineRule="auto"/>
      </w:pPr>
      <w:r>
        <w:separator/>
      </w:r>
    </w:p>
  </w:footnote>
  <w:footnote w:type="continuationSeparator" w:id="0">
    <w:p w:rsidR="002709C0" w:rsidRDefault="002709C0" w:rsidP="00A30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7B8B"/>
    <w:multiLevelType w:val="hybridMultilevel"/>
    <w:tmpl w:val="D1E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EB5"/>
    <w:multiLevelType w:val="hybridMultilevel"/>
    <w:tmpl w:val="5240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319DB"/>
    <w:multiLevelType w:val="hybridMultilevel"/>
    <w:tmpl w:val="4318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82B86"/>
    <w:multiLevelType w:val="hybridMultilevel"/>
    <w:tmpl w:val="BF18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F21C6"/>
    <w:multiLevelType w:val="hybridMultilevel"/>
    <w:tmpl w:val="9C76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55"/>
    <w:rsid w:val="000073EF"/>
    <w:rsid w:val="0002684F"/>
    <w:rsid w:val="000707A7"/>
    <w:rsid w:val="000D2FA5"/>
    <w:rsid w:val="001A124D"/>
    <w:rsid w:val="001B2741"/>
    <w:rsid w:val="0022100D"/>
    <w:rsid w:val="002709C0"/>
    <w:rsid w:val="00323DCF"/>
    <w:rsid w:val="0032539B"/>
    <w:rsid w:val="003F14DE"/>
    <w:rsid w:val="00410A6B"/>
    <w:rsid w:val="004632A1"/>
    <w:rsid w:val="004B5AD5"/>
    <w:rsid w:val="00550899"/>
    <w:rsid w:val="005711D5"/>
    <w:rsid w:val="00611E70"/>
    <w:rsid w:val="0062121E"/>
    <w:rsid w:val="00657955"/>
    <w:rsid w:val="009E13F6"/>
    <w:rsid w:val="009F1E2C"/>
    <w:rsid w:val="00A30D50"/>
    <w:rsid w:val="00B0308B"/>
    <w:rsid w:val="00B129C1"/>
    <w:rsid w:val="00CA3932"/>
    <w:rsid w:val="00D32C80"/>
    <w:rsid w:val="00D4392C"/>
    <w:rsid w:val="00D642A5"/>
    <w:rsid w:val="00DA3AE4"/>
    <w:rsid w:val="00DF69E0"/>
    <w:rsid w:val="00E037B7"/>
    <w:rsid w:val="00E33E76"/>
    <w:rsid w:val="00E37E21"/>
    <w:rsid w:val="00ED1096"/>
    <w:rsid w:val="00ED4939"/>
    <w:rsid w:val="00F7500B"/>
    <w:rsid w:val="00F86219"/>
    <w:rsid w:val="00F87417"/>
    <w:rsid w:val="00F9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323DF-1A23-4B0D-BAE1-2C016C43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5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19"/>
    <w:pPr>
      <w:ind w:left="720"/>
      <w:contextualSpacing/>
    </w:pPr>
  </w:style>
  <w:style w:type="paragraph" w:styleId="Header">
    <w:name w:val="header"/>
    <w:basedOn w:val="Normal"/>
    <w:link w:val="HeaderChar"/>
    <w:uiPriority w:val="99"/>
    <w:unhideWhenUsed/>
    <w:rsid w:val="00A30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D50"/>
  </w:style>
  <w:style w:type="paragraph" w:styleId="Footer">
    <w:name w:val="footer"/>
    <w:basedOn w:val="Normal"/>
    <w:link w:val="FooterChar"/>
    <w:uiPriority w:val="99"/>
    <w:unhideWhenUsed/>
    <w:rsid w:val="00A30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D50"/>
  </w:style>
  <w:style w:type="character" w:customStyle="1" w:styleId="Heading1Char">
    <w:name w:val="Heading 1 Char"/>
    <w:basedOn w:val="DefaultParagraphFont"/>
    <w:link w:val="Heading1"/>
    <w:uiPriority w:val="9"/>
    <w:rsid w:val="003253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Ackerman, Sharon</dc:creator>
  <cp:keywords/>
  <dc:description/>
  <cp:lastModifiedBy>Angela Martin</cp:lastModifiedBy>
  <cp:revision>3</cp:revision>
  <dcterms:created xsi:type="dcterms:W3CDTF">2016-10-31T20:19:00Z</dcterms:created>
  <dcterms:modified xsi:type="dcterms:W3CDTF">2016-10-31T20:20:00Z</dcterms:modified>
</cp:coreProperties>
</file>